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CF5EB5" w:rsidTr="00CF5EB5">
        <w:trPr>
          <w:cantSplit/>
          <w:trHeight w:val="113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CF5EB5" w:rsidRPr="00B40E3B" w:rsidRDefault="00CF5EB5" w:rsidP="00CF5EB5">
            <w:pPr>
              <w:rPr>
                <w:rFonts w:ascii="NTPreCursive" w:hAnsi="NTPreCursive"/>
                <w:b/>
                <w:color w:val="7030A0"/>
              </w:rPr>
            </w:pPr>
            <w:r w:rsidRPr="00B40E3B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accurately by blending the sounds in words that contain the common graphemes for all 40+ phonemes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accurately some words of two or more syllables that contain the same grapheme-phoneme correspondences (GPCs)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many common exception words.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aloud many words quickly and accurately without overt sounding and blending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sound out many unfamiliar words accurately.</w:t>
            </w:r>
          </w:p>
          <w:p w:rsidR="00AB5AAA" w:rsidRDefault="00AB5AAA" w:rsidP="00CF5EB5">
            <w:pPr>
              <w:rPr>
                <w:rFonts w:ascii="NTPreCursive" w:hAnsi="NTPreCursive"/>
                <w:b/>
                <w:color w:val="FF0000"/>
              </w:rPr>
            </w:pPr>
          </w:p>
          <w:p w:rsidR="00CF5EB5" w:rsidRPr="00B40E3B" w:rsidRDefault="00CF5EB5" w:rsidP="00CF5EB5">
            <w:pPr>
              <w:rPr>
                <w:rFonts w:ascii="NTPreCursive" w:hAnsi="NTPreCursive"/>
                <w:b/>
                <w:color w:val="FF0000"/>
              </w:rPr>
            </w:pPr>
            <w:bookmarkStart w:id="0" w:name="_GoBack"/>
            <w:bookmarkEnd w:id="0"/>
            <w:r w:rsidRPr="00B40E3B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4227B1">
              <w:rPr>
                <w:rFonts w:ascii="NTPreCursive" w:hAnsi="NTPreCursive"/>
                <w:color w:val="FF0000"/>
              </w:rPr>
              <w:t xml:space="preserve">answer questions and make inferences on the basis of what is being said and done in a familiar book that is read to </w:t>
            </w:r>
            <w:r>
              <w:rPr>
                <w:rFonts w:ascii="NTPreCursive" w:hAnsi="NTPreCursive"/>
                <w:color w:val="FF0000"/>
              </w:rPr>
              <w:t>me</w:t>
            </w:r>
            <w:r w:rsidRPr="004227B1">
              <w:rPr>
                <w:rFonts w:ascii="NTPreCursive" w:hAnsi="NTPreCursive"/>
                <w:color w:val="FF0000"/>
              </w:rPr>
              <w:t>.</w:t>
            </w:r>
          </w:p>
        </w:tc>
      </w:tr>
      <w:tr w:rsidR="00CF5EB5" w:rsidTr="00CF5EB5">
        <w:trPr>
          <w:cantSplit/>
          <w:trHeight w:val="113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CF5EB5" w:rsidRPr="008C3485" w:rsidRDefault="00CF5EB5" w:rsidP="00CF5EB5">
            <w:pPr>
              <w:rPr>
                <w:rFonts w:ascii="NTPreCursive" w:hAnsi="NTPreCursive"/>
                <w:b/>
                <w:color w:val="7030A0"/>
              </w:rPr>
            </w:pPr>
            <w:r w:rsidRPr="008C348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CF5EB5" w:rsidRPr="004227B1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 xml:space="preserve">I can read accurately most words of two or more syllables. </w:t>
            </w:r>
          </w:p>
          <w:p w:rsidR="00CF5EB5" w:rsidRPr="004227B1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>I can read most words containing common suffixes.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>I can read most common exception words.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4227B1">
              <w:rPr>
                <w:rFonts w:ascii="NTPreCursive" w:hAnsi="NTPreCursive"/>
                <w:color w:val="7030A0"/>
              </w:rPr>
              <w:t>read words accurately and fluently without overt sounding and blending, e.g</w:t>
            </w:r>
            <w:r>
              <w:rPr>
                <w:rFonts w:ascii="NTPreCursive" w:hAnsi="NTPreCursive"/>
                <w:color w:val="7030A0"/>
              </w:rPr>
              <w:t xml:space="preserve">. at over 90 words per minute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4227B1">
              <w:rPr>
                <w:rFonts w:ascii="NTPreCursive" w:hAnsi="NTPreCursive"/>
                <w:color w:val="7030A0"/>
              </w:rPr>
              <w:t>sound out most unfamiliar words accurately, without undue hesitation.</w:t>
            </w:r>
          </w:p>
          <w:p w:rsidR="00B40E3B" w:rsidRPr="00B40E3B" w:rsidRDefault="00B40E3B" w:rsidP="00B40E3B">
            <w:pPr>
              <w:ind w:left="360"/>
              <w:rPr>
                <w:rFonts w:ascii="NTPreCursive" w:hAnsi="NTPreCursive"/>
                <w:color w:val="7030A0"/>
              </w:rPr>
            </w:pPr>
          </w:p>
          <w:p w:rsidR="00CF5EB5" w:rsidRPr="00B40E3B" w:rsidRDefault="00CF5EB5" w:rsidP="00CF5EB5">
            <w:pPr>
              <w:rPr>
                <w:rFonts w:ascii="NTPreCursive" w:hAnsi="NTPreCursive"/>
                <w:b/>
                <w:color w:val="FF0000"/>
              </w:rPr>
            </w:pPr>
            <w:r w:rsidRPr="00B40E3B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check what I have read makes sense to me.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</w:t>
            </w:r>
            <w:r w:rsidRPr="004227B1">
              <w:rPr>
                <w:rFonts w:ascii="NTPreCursive" w:hAnsi="NTPreCursive"/>
                <w:color w:val="FF0000"/>
              </w:rPr>
              <w:t xml:space="preserve"> answer questions and make some inferences on the basis of what is being said and done.</w:t>
            </w:r>
          </w:p>
        </w:tc>
      </w:tr>
      <w:tr w:rsidR="00CF5EB5" w:rsidTr="00B40E3B">
        <w:trPr>
          <w:cantSplit/>
          <w:trHeight w:val="102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5EB5" w:rsidRPr="00B40E3B" w:rsidRDefault="00CF5EB5" w:rsidP="00CF5EB5">
            <w:pPr>
              <w:rPr>
                <w:rFonts w:ascii="NTPreCursive" w:hAnsi="NTPreCursive"/>
                <w:b/>
              </w:rPr>
            </w:pPr>
            <w:r w:rsidRPr="00B40E3B">
              <w:rPr>
                <w:rFonts w:ascii="NTPreCursive" w:hAnsi="NTPreCursive"/>
                <w:b/>
              </w:rPr>
              <w:t xml:space="preserve">Comprehension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I can </w:t>
            </w:r>
            <w:r w:rsidRPr="004227B1">
              <w:rPr>
                <w:rFonts w:ascii="NTPreCursive" w:hAnsi="NTPreCursive"/>
              </w:rPr>
              <w:t xml:space="preserve">make inferences on the basis of what is said and done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</w:t>
            </w:r>
            <w:r w:rsidRPr="004227B1">
              <w:rPr>
                <w:rFonts w:ascii="NTPreCursive" w:hAnsi="NTPreCursive"/>
              </w:rPr>
              <w:t xml:space="preserve"> predict what might happen on the basi</w:t>
            </w:r>
            <w:r>
              <w:rPr>
                <w:rFonts w:ascii="NTPreCursive" w:hAnsi="NTPreCursive"/>
              </w:rPr>
              <w:t xml:space="preserve">s of what has been read so far 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</w:t>
            </w:r>
            <w:r w:rsidRPr="004227B1">
              <w:rPr>
                <w:rFonts w:ascii="NTPreCursive" w:hAnsi="NTPreCursive"/>
              </w:rPr>
              <w:t xml:space="preserve"> </w:t>
            </w:r>
            <w:r>
              <w:rPr>
                <w:rFonts w:ascii="NTPreCursive" w:hAnsi="NTPreCursive"/>
              </w:rPr>
              <w:t>make links between the book I am reading and other books I</w:t>
            </w:r>
            <w:r w:rsidRPr="004227B1">
              <w:rPr>
                <w:rFonts w:ascii="NTPreCursive" w:hAnsi="NTPreCursive"/>
              </w:rPr>
              <w:t xml:space="preserve"> have read.</w:t>
            </w:r>
          </w:p>
        </w:tc>
      </w:tr>
    </w:tbl>
    <w:p w:rsidR="00466E98" w:rsidRDefault="00CF5EB5">
      <w:pPr>
        <w:rPr>
          <w:rFonts w:ascii="NTPreCursive" w:hAnsi="NTPreCursive"/>
          <w:sz w:val="28"/>
          <w:szCs w:val="28"/>
          <w:u w:val="single"/>
        </w:rPr>
      </w:pPr>
      <w:r w:rsidRPr="00CF5EB5">
        <w:rPr>
          <w:rFonts w:ascii="NTPreCursive" w:hAnsi="NTPreCursive"/>
          <w:sz w:val="28"/>
          <w:szCs w:val="28"/>
          <w:u w:val="single"/>
        </w:rPr>
        <w:t xml:space="preserve">Year </w:t>
      </w:r>
      <w:r>
        <w:rPr>
          <w:rFonts w:ascii="NTPreCursive" w:hAnsi="NTPreCursive"/>
          <w:sz w:val="28"/>
          <w:szCs w:val="28"/>
          <w:u w:val="single"/>
        </w:rPr>
        <w:t>2 R</w:t>
      </w:r>
      <w:r w:rsidRPr="00CF5EB5">
        <w:rPr>
          <w:rFonts w:ascii="NTPreCursive" w:hAnsi="NTPreCursive"/>
          <w:sz w:val="28"/>
          <w:szCs w:val="28"/>
          <w:u w:val="single"/>
        </w:rPr>
        <w:t xml:space="preserve">eading </w:t>
      </w:r>
      <w:r>
        <w:rPr>
          <w:rFonts w:ascii="NTPreCursive" w:hAnsi="NTPreCursive"/>
          <w:sz w:val="28"/>
          <w:szCs w:val="28"/>
          <w:u w:val="single"/>
        </w:rPr>
        <w:t>A</w:t>
      </w:r>
      <w:r w:rsidRPr="00CF5EB5">
        <w:rPr>
          <w:rFonts w:ascii="NTPreCursive" w:hAnsi="NTPreCursive"/>
          <w:sz w:val="28"/>
          <w:szCs w:val="28"/>
          <w:u w:val="single"/>
        </w:rPr>
        <w:t xml:space="preserve">ssessment </w:t>
      </w:r>
      <w:r>
        <w:rPr>
          <w:rFonts w:ascii="NTPreCursive" w:hAnsi="NTPreCursive"/>
          <w:sz w:val="28"/>
          <w:szCs w:val="28"/>
          <w:u w:val="single"/>
        </w:rPr>
        <w:t>S</w:t>
      </w:r>
      <w:r w:rsidRPr="00CF5EB5">
        <w:rPr>
          <w:rFonts w:ascii="NTPreCursive" w:hAnsi="NTPreCursive"/>
          <w:sz w:val="28"/>
          <w:szCs w:val="28"/>
          <w:u w:val="single"/>
        </w:rPr>
        <w:t>heet</w:t>
      </w:r>
    </w:p>
    <w:p w:rsidR="00CF5EB5" w:rsidRPr="00ED64BD" w:rsidRDefault="00CF5EB5">
      <w:r>
        <w:rPr>
          <w:rFonts w:ascii="NTPreCursive" w:hAnsi="NTPreCursive"/>
          <w:sz w:val="28"/>
          <w:szCs w:val="28"/>
          <w:u w:val="single"/>
        </w:rPr>
        <w:t>Child’s  Name:</w:t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  <w:t>__________________</w:t>
      </w:r>
      <w:r w:rsidR="000A764E">
        <w:rPr>
          <w:rFonts w:ascii="NTPreCursive" w:hAnsi="NTPreCursive"/>
          <w:sz w:val="28"/>
          <w:szCs w:val="28"/>
          <w:u w:val="single"/>
        </w:rPr>
        <w:t>______________</w:t>
      </w:r>
    </w:p>
    <w:p w:rsidR="00CF5EB5" w:rsidRDefault="00CF5EB5">
      <w:pPr>
        <w:rPr>
          <w:rFonts w:ascii="NTPreCursive" w:hAnsi="NTPreCursive"/>
          <w:sz w:val="28"/>
          <w:szCs w:val="28"/>
          <w:u w:val="single"/>
        </w:rPr>
      </w:pPr>
    </w:p>
    <w:p w:rsidR="00CF5EB5" w:rsidRDefault="00CF5EB5">
      <w:pPr>
        <w:rPr>
          <w:rFonts w:ascii="NTPreCursive" w:hAnsi="NTPreCursive"/>
          <w:sz w:val="28"/>
          <w:szCs w:val="28"/>
          <w:u w:val="single"/>
        </w:rPr>
      </w:pPr>
    </w:p>
    <w:p w:rsidR="00CF5EB5" w:rsidRPr="00CF5EB5" w:rsidRDefault="00CF5EB5">
      <w:pPr>
        <w:rPr>
          <w:rFonts w:ascii="NTPreCursive" w:hAnsi="NTPreCursive"/>
          <w:sz w:val="28"/>
          <w:szCs w:val="28"/>
          <w:u w:val="single"/>
        </w:rPr>
      </w:pPr>
    </w:p>
    <w:sectPr w:rsidR="00CF5EB5" w:rsidRPr="00CF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D9B"/>
    <w:multiLevelType w:val="hybridMultilevel"/>
    <w:tmpl w:val="E8EAE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0A764E"/>
    <w:rsid w:val="002E3124"/>
    <w:rsid w:val="00310588"/>
    <w:rsid w:val="004227B1"/>
    <w:rsid w:val="00466E98"/>
    <w:rsid w:val="00475989"/>
    <w:rsid w:val="005E59D9"/>
    <w:rsid w:val="0080172B"/>
    <w:rsid w:val="008C3485"/>
    <w:rsid w:val="00AB5AAA"/>
    <w:rsid w:val="00B40E3B"/>
    <w:rsid w:val="00B73DC1"/>
    <w:rsid w:val="00BE18FB"/>
    <w:rsid w:val="00CF5EB5"/>
    <w:rsid w:val="00CF78A1"/>
    <w:rsid w:val="00D87961"/>
    <w:rsid w:val="00ED64BD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9</cp:revision>
  <dcterms:created xsi:type="dcterms:W3CDTF">2016-08-03T09:12:00Z</dcterms:created>
  <dcterms:modified xsi:type="dcterms:W3CDTF">2016-08-03T10:31:00Z</dcterms:modified>
</cp:coreProperties>
</file>