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2E2" w:rsidRDefault="00B432E2" w:rsidP="00F5468D"/>
    <w:p w:rsidR="00983569" w:rsidRDefault="00983569" w:rsidP="00983569">
      <w:pPr>
        <w:rPr>
          <w:b/>
        </w:rPr>
      </w:pPr>
      <w:r>
        <w:rPr>
          <w:b/>
        </w:rPr>
        <w:t>Dear Families,</w:t>
      </w:r>
    </w:p>
    <w:p w:rsidR="00983569" w:rsidRDefault="00983569" w:rsidP="00983569">
      <w:pPr>
        <w:rPr>
          <w:b/>
        </w:rPr>
      </w:pPr>
    </w:p>
    <w:p w:rsidR="00983569" w:rsidRDefault="00983569" w:rsidP="00983569">
      <w:pPr>
        <w:rPr>
          <w:b/>
        </w:rPr>
      </w:pPr>
      <w:r w:rsidRPr="006A63E9">
        <w:t xml:space="preserve">I spoke with many </w:t>
      </w:r>
      <w:r>
        <w:t>of you last week at the school g</w:t>
      </w:r>
      <w:r w:rsidRPr="006A63E9">
        <w:t>ates but I also wanted to write to you to welcome you back to a new academic year</w:t>
      </w:r>
      <w:r>
        <w:rPr>
          <w:b/>
        </w:rPr>
        <w:t xml:space="preserve">. </w:t>
      </w:r>
    </w:p>
    <w:p w:rsidR="00983569" w:rsidRDefault="00983569" w:rsidP="00983569">
      <w:pPr>
        <w:rPr>
          <w:b/>
        </w:rPr>
      </w:pPr>
    </w:p>
    <w:p w:rsidR="00983569" w:rsidRPr="00D07B6A" w:rsidRDefault="00983569" w:rsidP="00983569">
      <w:pPr>
        <w:rPr>
          <w:b/>
          <w:u w:val="single"/>
        </w:rPr>
      </w:pPr>
      <w:r w:rsidRPr="00D07B6A">
        <w:rPr>
          <w:b/>
          <w:u w:val="single"/>
        </w:rPr>
        <w:t>An Igniting Start!</w:t>
      </w:r>
    </w:p>
    <w:p w:rsidR="00983569" w:rsidRPr="006A63E9" w:rsidRDefault="00983569" w:rsidP="00983569">
      <w:r w:rsidRPr="006A63E9">
        <w:t xml:space="preserve">Last week got off to an exciting start with ‘The Great Fire of London’ in year 2 and ‘The Greek Day’ in year 4.  The children really enjoyed themselves – these </w:t>
      </w:r>
      <w:r>
        <w:t xml:space="preserve">ignite days </w:t>
      </w:r>
      <w:r w:rsidRPr="006A63E9">
        <w:t xml:space="preserve">help bring History alive </w:t>
      </w:r>
      <w:proofErr w:type="gramStart"/>
      <w:r w:rsidRPr="006A63E9">
        <w:t>and</w:t>
      </w:r>
      <w:r>
        <w:t xml:space="preserve"> </w:t>
      </w:r>
      <w:r w:rsidRPr="006A63E9">
        <w:t xml:space="preserve"> will</w:t>
      </w:r>
      <w:proofErr w:type="gramEnd"/>
      <w:r w:rsidRPr="006A63E9">
        <w:t xml:space="preserve"> encourage our children to become interested in History throughout their lives. Thank you so much to all of the families who helped us to support this day financially, without this support we could not afford to run days like this.  </w:t>
      </w:r>
    </w:p>
    <w:p w:rsidR="00983569" w:rsidRDefault="00983569" w:rsidP="00983569">
      <w:pPr>
        <w:tabs>
          <w:tab w:val="left" w:pos="2325"/>
        </w:tabs>
        <w:rPr>
          <w:b/>
          <w:u w:val="single"/>
        </w:rPr>
      </w:pPr>
    </w:p>
    <w:p w:rsidR="00983569" w:rsidRDefault="00983569" w:rsidP="00983569">
      <w:pPr>
        <w:rPr>
          <w:b/>
          <w:u w:val="single"/>
        </w:rPr>
      </w:pPr>
      <w:r w:rsidRPr="004B7965">
        <w:rPr>
          <w:b/>
          <w:u w:val="single"/>
        </w:rPr>
        <w:t>Communication</w:t>
      </w:r>
    </w:p>
    <w:p w:rsidR="00983569" w:rsidRPr="006A63E9" w:rsidRDefault="00983569" w:rsidP="00983569">
      <w:r w:rsidRPr="006A63E9">
        <w:t>Every morning and after school each</w:t>
      </w:r>
      <w:r>
        <w:t xml:space="preserve"> day,</w:t>
      </w:r>
      <w:r w:rsidRPr="006A63E9">
        <w:t xml:space="preserve"> Carol Mallet our Family Champion is always on the playground to enable you to pass messages to staff or discuss worries.  Please always talk through any concerns however small and we will try and find solutions.  If you have any ideas about how we can improve our school in anyway please also share this with Carol as we need the voice of the community to help us grow. </w:t>
      </w:r>
      <w:r>
        <w:t xml:space="preserve"> I will also be on the playground most mornings to welcome the children and listen to your ideas and concerns.</w:t>
      </w:r>
      <w:r w:rsidRPr="006A63E9">
        <w:t xml:space="preserve"> It is</w:t>
      </w:r>
      <w:r>
        <w:t xml:space="preserve"> also</w:t>
      </w:r>
      <w:r w:rsidRPr="006A63E9">
        <w:t xml:space="preserve"> essential that you register with </w:t>
      </w:r>
      <w:proofErr w:type="spellStart"/>
      <w:r w:rsidRPr="006A63E9">
        <w:t>parentmail</w:t>
      </w:r>
      <w:proofErr w:type="spellEnd"/>
      <w:r w:rsidRPr="006A63E9">
        <w:t xml:space="preserve"> as we are aiming to become a paperless school in terms of written communication by October 2017.</w:t>
      </w:r>
    </w:p>
    <w:p w:rsidR="00983569" w:rsidRDefault="00983569" w:rsidP="00983569">
      <w:pPr>
        <w:rPr>
          <w:b/>
        </w:rPr>
      </w:pPr>
    </w:p>
    <w:p w:rsidR="00983569" w:rsidRPr="00D07B6A" w:rsidRDefault="00983569" w:rsidP="00983569">
      <w:pPr>
        <w:rPr>
          <w:b/>
          <w:u w:val="single"/>
        </w:rPr>
      </w:pPr>
      <w:r w:rsidRPr="00D07B6A">
        <w:rPr>
          <w:b/>
          <w:u w:val="single"/>
        </w:rPr>
        <w:t xml:space="preserve">Curriculum Information Sessions </w:t>
      </w:r>
      <w:proofErr w:type="gramStart"/>
      <w:r w:rsidRPr="00D07B6A">
        <w:rPr>
          <w:b/>
          <w:u w:val="single"/>
        </w:rPr>
        <w:t>For</w:t>
      </w:r>
      <w:proofErr w:type="gramEnd"/>
      <w:r w:rsidRPr="00D07B6A">
        <w:rPr>
          <w:b/>
          <w:u w:val="single"/>
        </w:rPr>
        <w:t xml:space="preserve"> Families</w:t>
      </w:r>
    </w:p>
    <w:p w:rsidR="00983569" w:rsidRPr="006A63E9" w:rsidRDefault="00983569" w:rsidP="00983569">
      <w:r w:rsidRPr="006A63E9">
        <w:t>Th</w:t>
      </w:r>
      <w:r>
        <w:t>ese will be held over the next two</w:t>
      </w:r>
      <w:r w:rsidRPr="006A63E9">
        <w:t xml:space="preserve"> weeks. It is extremely important that you attend these sessions (there is cake!)  The</w:t>
      </w:r>
      <w:r>
        <w:t>se sessions</w:t>
      </w:r>
      <w:r w:rsidRPr="006A63E9">
        <w:t xml:space="preserve"> will enable you to learn about the projects and learning expectations for the year.  Miss Lovelock will look after the children during these sessions until you pick them up at 4.15</w:t>
      </w:r>
      <w:r>
        <w:t>. We hold these annually and the feedback from parents last year was really positive.</w:t>
      </w:r>
    </w:p>
    <w:p w:rsidR="00983569" w:rsidRPr="006A63E9" w:rsidRDefault="00983569" w:rsidP="00983569">
      <w:pPr>
        <w:rPr>
          <w:b/>
          <w:u w:val="single"/>
        </w:rPr>
      </w:pPr>
    </w:p>
    <w:p w:rsidR="00983569" w:rsidRDefault="00983569" w:rsidP="00983569">
      <w:pPr>
        <w:rPr>
          <w:b/>
        </w:rPr>
      </w:pPr>
    </w:p>
    <w:p w:rsidR="00983569" w:rsidRPr="00D07B6A" w:rsidRDefault="00983569" w:rsidP="00983569">
      <w:pPr>
        <w:rPr>
          <w:b/>
          <w:u w:val="single"/>
        </w:rPr>
      </w:pPr>
      <w:r w:rsidRPr="00D07B6A">
        <w:rPr>
          <w:b/>
          <w:u w:val="single"/>
        </w:rPr>
        <w:t>Ofsted</w:t>
      </w:r>
    </w:p>
    <w:p w:rsidR="00983569" w:rsidRDefault="00983569" w:rsidP="00983569">
      <w:r w:rsidRPr="006A63E9">
        <w:t>We are expecting an inspection this term.  We will notify you the day before the inspection takes place.  The inspector will be on the playground before and after school.  Please</w:t>
      </w:r>
      <w:r>
        <w:t xml:space="preserve"> help</w:t>
      </w:r>
      <w:r w:rsidRPr="006A63E9">
        <w:t xml:space="preserve"> support our school by speaking with the inspector about the strengths of the school.  They only have about a day to collect as much information as possible.  When you have a moment before the inspection</w:t>
      </w:r>
      <w:proofErr w:type="gramStart"/>
      <w:r>
        <w:t xml:space="preserve">, </w:t>
      </w:r>
      <w:r w:rsidRPr="006A63E9">
        <w:t xml:space="preserve"> please</w:t>
      </w:r>
      <w:proofErr w:type="gramEnd"/>
      <w:r w:rsidRPr="006A63E9">
        <w:t xml:space="preserve"> could you also support the school by compl</w:t>
      </w:r>
      <w:r>
        <w:t xml:space="preserve">eting the survey on parent view </w:t>
      </w:r>
      <w:r w:rsidRPr="006A63E9">
        <w:t>https://parentview.ofsted.gov.uk/</w:t>
      </w:r>
    </w:p>
    <w:p w:rsidR="00983569" w:rsidRDefault="00983569" w:rsidP="00983569">
      <w:pPr>
        <w:rPr>
          <w:b/>
          <w:u w:val="single"/>
        </w:rPr>
      </w:pPr>
    </w:p>
    <w:p w:rsidR="00983569" w:rsidRDefault="00983569" w:rsidP="00983569">
      <w:pPr>
        <w:rPr>
          <w:b/>
          <w:u w:val="single"/>
        </w:rPr>
      </w:pPr>
      <w:r w:rsidRPr="006A63E9">
        <w:rPr>
          <w:b/>
          <w:u w:val="single"/>
        </w:rPr>
        <w:lastRenderedPageBreak/>
        <w:t>Volunteers</w:t>
      </w:r>
    </w:p>
    <w:p w:rsidR="00983569" w:rsidRPr="006A63E9" w:rsidRDefault="00983569" w:rsidP="00983569">
      <w:r w:rsidRPr="006A63E9">
        <w:t xml:space="preserve">We </w:t>
      </w:r>
      <w:r>
        <w:t>desperately need some more volunteer readers in school. These volunteers make such a difference. We have Dads, Mums, Grandads, and Grandmas – please come and join us!  Speak with Carol and she will help organise a DBS check and your induction training.</w:t>
      </w:r>
    </w:p>
    <w:p w:rsidR="00983569" w:rsidRPr="006A63E9" w:rsidRDefault="00983569" w:rsidP="00983569">
      <w:pPr>
        <w:tabs>
          <w:tab w:val="left" w:pos="3030"/>
        </w:tabs>
        <w:rPr>
          <w:b/>
        </w:rPr>
      </w:pPr>
    </w:p>
    <w:p w:rsidR="00983569" w:rsidRDefault="00983569" w:rsidP="00983569">
      <w:pPr>
        <w:rPr>
          <w:b/>
          <w:u w:val="single"/>
        </w:rPr>
      </w:pPr>
    </w:p>
    <w:p w:rsidR="00983569" w:rsidRDefault="00983569" w:rsidP="00983569">
      <w:pPr>
        <w:rPr>
          <w:b/>
          <w:u w:val="single"/>
        </w:rPr>
      </w:pPr>
    </w:p>
    <w:p w:rsidR="00983569" w:rsidRDefault="00983569" w:rsidP="00983569">
      <w:pPr>
        <w:rPr>
          <w:b/>
          <w:u w:val="single"/>
        </w:rPr>
      </w:pPr>
    </w:p>
    <w:p w:rsidR="00983569" w:rsidRDefault="00983569" w:rsidP="00983569">
      <w:pPr>
        <w:rPr>
          <w:b/>
          <w:u w:val="single"/>
        </w:rPr>
      </w:pPr>
    </w:p>
    <w:p w:rsidR="00983569" w:rsidRPr="004B7965" w:rsidRDefault="00983569" w:rsidP="00983569">
      <w:pPr>
        <w:rPr>
          <w:b/>
          <w:u w:val="single"/>
        </w:rPr>
      </w:pPr>
      <w:r>
        <w:rPr>
          <w:b/>
          <w:u w:val="single"/>
        </w:rPr>
        <w:t>Sharing o</w:t>
      </w:r>
      <w:r w:rsidRPr="004B7965">
        <w:rPr>
          <w:b/>
          <w:u w:val="single"/>
        </w:rPr>
        <w:t xml:space="preserve">ur results from last </w:t>
      </w:r>
      <w:proofErr w:type="gramStart"/>
      <w:r w:rsidRPr="004B7965">
        <w:rPr>
          <w:b/>
          <w:u w:val="single"/>
        </w:rPr>
        <w:t>academic  year</w:t>
      </w:r>
      <w:proofErr w:type="gramEnd"/>
    </w:p>
    <w:p w:rsidR="00983569" w:rsidRDefault="00983569" w:rsidP="00983569">
      <w:r>
        <w:t xml:space="preserve">At the end of Foundation stage and Year 2, we have to make statutory teacher assessments of how your children are performing against National expectations. In Year 2 teachers use SATs tests to inform their judgements but do not rely solely on the test outcomes when making their final teacher assessments.  Results of how children did nationally in 2017 have not been published yet, but we can compare ourselves to national 2016 results. </w:t>
      </w:r>
    </w:p>
    <w:p w:rsidR="00983569" w:rsidRPr="00504819" w:rsidRDefault="00983569" w:rsidP="00983569">
      <w:pPr>
        <w:rPr>
          <w:b/>
          <w:u w:val="single"/>
        </w:rPr>
      </w:pPr>
      <w:r>
        <w:rPr>
          <w:b/>
          <w:u w:val="single"/>
        </w:rPr>
        <w:t>Foundation Stage Teacher A</w:t>
      </w:r>
      <w:r w:rsidRPr="00504819">
        <w:rPr>
          <w:b/>
          <w:u w:val="single"/>
        </w:rPr>
        <w:t>ssessments</w:t>
      </w:r>
    </w:p>
    <w:tbl>
      <w:tblPr>
        <w:tblStyle w:val="TableGrid"/>
        <w:tblW w:w="0" w:type="auto"/>
        <w:tblLook w:val="04A0"/>
      </w:tblPr>
      <w:tblGrid>
        <w:gridCol w:w="3080"/>
        <w:gridCol w:w="3081"/>
        <w:gridCol w:w="3081"/>
      </w:tblGrid>
      <w:tr w:rsidR="00983569" w:rsidTr="00E316D4">
        <w:tc>
          <w:tcPr>
            <w:tcW w:w="3080" w:type="dxa"/>
          </w:tcPr>
          <w:p w:rsidR="00983569" w:rsidRDefault="00983569" w:rsidP="00E316D4"/>
        </w:tc>
        <w:tc>
          <w:tcPr>
            <w:tcW w:w="3081" w:type="dxa"/>
          </w:tcPr>
          <w:p w:rsidR="00983569" w:rsidRDefault="00983569" w:rsidP="00E316D4">
            <w:r>
              <w:t>Great Linford Primary</w:t>
            </w:r>
          </w:p>
        </w:tc>
        <w:tc>
          <w:tcPr>
            <w:tcW w:w="3081" w:type="dxa"/>
          </w:tcPr>
          <w:p w:rsidR="00983569" w:rsidRDefault="00983569" w:rsidP="00E316D4">
            <w:r>
              <w:t>National 2016</w:t>
            </w:r>
          </w:p>
        </w:tc>
      </w:tr>
      <w:tr w:rsidR="00983569" w:rsidTr="00E316D4">
        <w:tc>
          <w:tcPr>
            <w:tcW w:w="3080" w:type="dxa"/>
          </w:tcPr>
          <w:p w:rsidR="00983569" w:rsidRDefault="00983569" w:rsidP="00E316D4">
            <w:r>
              <w:t>Children achieving a ‘good level of development’</w:t>
            </w:r>
          </w:p>
          <w:p w:rsidR="00983569" w:rsidRDefault="00983569" w:rsidP="00E316D4">
            <w:r>
              <w:t xml:space="preserve"> (the expected standard across 12 of 17 the early learning goals)</w:t>
            </w:r>
          </w:p>
        </w:tc>
        <w:tc>
          <w:tcPr>
            <w:tcW w:w="3081" w:type="dxa"/>
          </w:tcPr>
          <w:p w:rsidR="00983569" w:rsidRDefault="00983569" w:rsidP="00E316D4"/>
          <w:p w:rsidR="00983569" w:rsidRDefault="00983569" w:rsidP="00E316D4">
            <w:r>
              <w:t xml:space="preserve">    76%</w:t>
            </w:r>
          </w:p>
        </w:tc>
        <w:tc>
          <w:tcPr>
            <w:tcW w:w="3081" w:type="dxa"/>
          </w:tcPr>
          <w:p w:rsidR="00983569" w:rsidRDefault="00983569" w:rsidP="00E316D4"/>
          <w:p w:rsidR="00983569" w:rsidRDefault="00983569" w:rsidP="00E316D4">
            <w:r>
              <w:t xml:space="preserve">  69%</w:t>
            </w:r>
          </w:p>
        </w:tc>
      </w:tr>
    </w:tbl>
    <w:p w:rsidR="00983569" w:rsidRDefault="00983569" w:rsidP="00983569"/>
    <w:p w:rsidR="00983569" w:rsidRPr="00504819" w:rsidRDefault="00983569" w:rsidP="00983569">
      <w:pPr>
        <w:rPr>
          <w:b/>
          <w:u w:val="single"/>
        </w:rPr>
      </w:pPr>
      <w:r>
        <w:rPr>
          <w:b/>
          <w:u w:val="single"/>
        </w:rPr>
        <w:t>End of Key Stage 1 Teacher A</w:t>
      </w:r>
      <w:r w:rsidRPr="00504819">
        <w:rPr>
          <w:b/>
          <w:u w:val="single"/>
        </w:rPr>
        <w:t>ssessments (Year 2)</w:t>
      </w:r>
    </w:p>
    <w:tbl>
      <w:tblPr>
        <w:tblStyle w:val="TableGrid"/>
        <w:tblW w:w="0" w:type="auto"/>
        <w:tblLook w:val="04A0"/>
      </w:tblPr>
      <w:tblGrid>
        <w:gridCol w:w="3652"/>
        <w:gridCol w:w="2835"/>
        <w:gridCol w:w="2755"/>
      </w:tblGrid>
      <w:tr w:rsidR="00983569" w:rsidTr="00E316D4">
        <w:tc>
          <w:tcPr>
            <w:tcW w:w="3652" w:type="dxa"/>
          </w:tcPr>
          <w:p w:rsidR="00983569" w:rsidRDefault="00983569" w:rsidP="00E316D4"/>
        </w:tc>
        <w:tc>
          <w:tcPr>
            <w:tcW w:w="2835" w:type="dxa"/>
          </w:tcPr>
          <w:p w:rsidR="00983569" w:rsidRDefault="00983569" w:rsidP="00E316D4">
            <w:r>
              <w:t>Great Linford Primary</w:t>
            </w:r>
          </w:p>
        </w:tc>
        <w:tc>
          <w:tcPr>
            <w:tcW w:w="2755" w:type="dxa"/>
          </w:tcPr>
          <w:p w:rsidR="00983569" w:rsidRDefault="00983569" w:rsidP="00E316D4">
            <w:r>
              <w:t>National 2016</w:t>
            </w:r>
          </w:p>
        </w:tc>
      </w:tr>
      <w:tr w:rsidR="00983569" w:rsidTr="00E316D4">
        <w:tc>
          <w:tcPr>
            <w:tcW w:w="9242" w:type="dxa"/>
            <w:gridSpan w:val="3"/>
            <w:shd w:val="clear" w:color="auto" w:fill="D9D9D9" w:themeFill="background1" w:themeFillShade="D9"/>
          </w:tcPr>
          <w:p w:rsidR="00983569" w:rsidRDefault="00983569" w:rsidP="00E316D4">
            <w:r>
              <w:rPr>
                <w:b/>
              </w:rPr>
              <w:t>Expected standards</w:t>
            </w:r>
          </w:p>
        </w:tc>
      </w:tr>
      <w:tr w:rsidR="00983569" w:rsidTr="00E316D4">
        <w:tc>
          <w:tcPr>
            <w:tcW w:w="3652" w:type="dxa"/>
          </w:tcPr>
          <w:p w:rsidR="00983569" w:rsidRDefault="00983569" w:rsidP="00E316D4">
            <w:r>
              <w:t>Reading</w:t>
            </w:r>
          </w:p>
        </w:tc>
        <w:tc>
          <w:tcPr>
            <w:tcW w:w="2835" w:type="dxa"/>
          </w:tcPr>
          <w:p w:rsidR="00983569" w:rsidRDefault="00983569" w:rsidP="00E316D4">
            <w:r>
              <w:t>75%</w:t>
            </w:r>
          </w:p>
        </w:tc>
        <w:tc>
          <w:tcPr>
            <w:tcW w:w="2755" w:type="dxa"/>
          </w:tcPr>
          <w:p w:rsidR="00983569" w:rsidRDefault="00983569" w:rsidP="00E316D4">
            <w:r>
              <w:t>74%</w:t>
            </w:r>
          </w:p>
        </w:tc>
      </w:tr>
      <w:tr w:rsidR="00983569" w:rsidTr="00E316D4">
        <w:tc>
          <w:tcPr>
            <w:tcW w:w="3652" w:type="dxa"/>
          </w:tcPr>
          <w:p w:rsidR="00983569" w:rsidRDefault="00983569" w:rsidP="00E316D4">
            <w:r>
              <w:t>Writing</w:t>
            </w:r>
          </w:p>
        </w:tc>
        <w:tc>
          <w:tcPr>
            <w:tcW w:w="2835" w:type="dxa"/>
          </w:tcPr>
          <w:p w:rsidR="00983569" w:rsidRDefault="00983569" w:rsidP="00E316D4">
            <w:r>
              <w:t>66%</w:t>
            </w:r>
          </w:p>
        </w:tc>
        <w:tc>
          <w:tcPr>
            <w:tcW w:w="2755" w:type="dxa"/>
          </w:tcPr>
          <w:p w:rsidR="00983569" w:rsidRDefault="00983569" w:rsidP="00E316D4">
            <w:r>
              <w:t>65%</w:t>
            </w:r>
          </w:p>
        </w:tc>
      </w:tr>
      <w:tr w:rsidR="00983569" w:rsidTr="00E316D4">
        <w:tc>
          <w:tcPr>
            <w:tcW w:w="3652" w:type="dxa"/>
          </w:tcPr>
          <w:p w:rsidR="00983569" w:rsidRDefault="00983569" w:rsidP="00E316D4">
            <w:r>
              <w:t>Maths</w:t>
            </w:r>
          </w:p>
        </w:tc>
        <w:tc>
          <w:tcPr>
            <w:tcW w:w="2835" w:type="dxa"/>
          </w:tcPr>
          <w:p w:rsidR="00983569" w:rsidRDefault="00983569" w:rsidP="00E316D4">
            <w:r>
              <w:t>75%</w:t>
            </w:r>
          </w:p>
        </w:tc>
        <w:tc>
          <w:tcPr>
            <w:tcW w:w="2755" w:type="dxa"/>
          </w:tcPr>
          <w:p w:rsidR="00983569" w:rsidRDefault="00983569" w:rsidP="00E316D4">
            <w:r>
              <w:t>73%</w:t>
            </w:r>
          </w:p>
        </w:tc>
      </w:tr>
      <w:tr w:rsidR="00983569" w:rsidTr="00E316D4">
        <w:tc>
          <w:tcPr>
            <w:tcW w:w="9242" w:type="dxa"/>
            <w:gridSpan w:val="3"/>
            <w:shd w:val="clear" w:color="auto" w:fill="D9D9D9" w:themeFill="background1" w:themeFillShade="D9"/>
          </w:tcPr>
          <w:p w:rsidR="00983569" w:rsidRDefault="00983569" w:rsidP="00E316D4">
            <w:r>
              <w:rPr>
                <w:b/>
              </w:rPr>
              <w:t>Greater depth standards</w:t>
            </w:r>
          </w:p>
        </w:tc>
      </w:tr>
      <w:tr w:rsidR="00983569" w:rsidTr="00E316D4">
        <w:tc>
          <w:tcPr>
            <w:tcW w:w="3652" w:type="dxa"/>
          </w:tcPr>
          <w:p w:rsidR="00983569" w:rsidRDefault="00983569" w:rsidP="00E316D4">
            <w:r>
              <w:t>Reading</w:t>
            </w:r>
          </w:p>
        </w:tc>
        <w:tc>
          <w:tcPr>
            <w:tcW w:w="2835" w:type="dxa"/>
          </w:tcPr>
          <w:p w:rsidR="00983569" w:rsidRDefault="00983569" w:rsidP="00E316D4">
            <w:r>
              <w:t>27%</w:t>
            </w:r>
          </w:p>
        </w:tc>
        <w:tc>
          <w:tcPr>
            <w:tcW w:w="2755" w:type="dxa"/>
          </w:tcPr>
          <w:p w:rsidR="00983569" w:rsidRDefault="00983569" w:rsidP="00E316D4">
            <w:r>
              <w:t>24%</w:t>
            </w:r>
          </w:p>
        </w:tc>
      </w:tr>
      <w:tr w:rsidR="00983569" w:rsidTr="00E316D4">
        <w:tc>
          <w:tcPr>
            <w:tcW w:w="3652" w:type="dxa"/>
          </w:tcPr>
          <w:p w:rsidR="00983569" w:rsidRDefault="00983569" w:rsidP="00E316D4">
            <w:r>
              <w:t>Writing</w:t>
            </w:r>
          </w:p>
        </w:tc>
        <w:tc>
          <w:tcPr>
            <w:tcW w:w="2835" w:type="dxa"/>
          </w:tcPr>
          <w:p w:rsidR="00983569" w:rsidRDefault="00983569" w:rsidP="00E316D4">
            <w:r>
              <w:t>18%</w:t>
            </w:r>
          </w:p>
        </w:tc>
        <w:tc>
          <w:tcPr>
            <w:tcW w:w="2755" w:type="dxa"/>
          </w:tcPr>
          <w:p w:rsidR="00983569" w:rsidRDefault="00983569" w:rsidP="00E316D4">
            <w:r>
              <w:t>13%</w:t>
            </w:r>
          </w:p>
        </w:tc>
      </w:tr>
      <w:tr w:rsidR="00983569" w:rsidTr="00E316D4">
        <w:tc>
          <w:tcPr>
            <w:tcW w:w="3652" w:type="dxa"/>
          </w:tcPr>
          <w:p w:rsidR="00983569" w:rsidRDefault="00983569" w:rsidP="00E316D4">
            <w:r>
              <w:t>Maths</w:t>
            </w:r>
          </w:p>
        </w:tc>
        <w:tc>
          <w:tcPr>
            <w:tcW w:w="2835" w:type="dxa"/>
          </w:tcPr>
          <w:p w:rsidR="00983569" w:rsidRDefault="00983569" w:rsidP="00E316D4">
            <w:r>
              <w:t>27%</w:t>
            </w:r>
          </w:p>
        </w:tc>
        <w:tc>
          <w:tcPr>
            <w:tcW w:w="2755" w:type="dxa"/>
          </w:tcPr>
          <w:p w:rsidR="00983569" w:rsidRDefault="00983569" w:rsidP="00E316D4">
            <w:r>
              <w:t>18%</w:t>
            </w:r>
          </w:p>
        </w:tc>
      </w:tr>
    </w:tbl>
    <w:p w:rsidR="00983569" w:rsidRDefault="00983569" w:rsidP="00983569"/>
    <w:p w:rsidR="00983569" w:rsidRDefault="00983569" w:rsidP="00983569"/>
    <w:p w:rsidR="00983569" w:rsidRDefault="00983569" w:rsidP="00983569">
      <w:r>
        <w:t xml:space="preserve">At the end of Year 1 children take a statutory phonic screening check to test their ability to read both real and ‘alien’ words (words that are made up) phonetically. Again, results of how children did nationally in 2017 have not been published yet but we can compare ourselves to national 2016 results. </w:t>
      </w:r>
    </w:p>
    <w:p w:rsidR="00983569" w:rsidRDefault="00983569" w:rsidP="00983569">
      <w:pPr>
        <w:rPr>
          <w:b/>
          <w:u w:val="single"/>
        </w:rPr>
      </w:pPr>
    </w:p>
    <w:p w:rsidR="00983569" w:rsidRPr="00504819" w:rsidRDefault="00983569" w:rsidP="00983569">
      <w:pPr>
        <w:rPr>
          <w:b/>
          <w:u w:val="single"/>
        </w:rPr>
      </w:pPr>
      <w:bookmarkStart w:id="0" w:name="_GoBack"/>
      <w:bookmarkEnd w:id="0"/>
      <w:r w:rsidRPr="00504819">
        <w:rPr>
          <w:b/>
          <w:u w:val="single"/>
        </w:rPr>
        <w:lastRenderedPageBreak/>
        <w:t>Year 1 phonic screening check results</w:t>
      </w:r>
    </w:p>
    <w:tbl>
      <w:tblPr>
        <w:tblStyle w:val="TableGrid"/>
        <w:tblW w:w="0" w:type="auto"/>
        <w:tblLook w:val="04A0"/>
      </w:tblPr>
      <w:tblGrid>
        <w:gridCol w:w="3080"/>
        <w:gridCol w:w="3081"/>
        <w:gridCol w:w="3081"/>
      </w:tblGrid>
      <w:tr w:rsidR="00983569" w:rsidTr="00E316D4">
        <w:tc>
          <w:tcPr>
            <w:tcW w:w="3080" w:type="dxa"/>
          </w:tcPr>
          <w:p w:rsidR="00983569" w:rsidRDefault="00983569" w:rsidP="00E316D4"/>
        </w:tc>
        <w:tc>
          <w:tcPr>
            <w:tcW w:w="3081" w:type="dxa"/>
          </w:tcPr>
          <w:p w:rsidR="00983569" w:rsidRDefault="00983569" w:rsidP="00E316D4">
            <w:r>
              <w:t>Great Linford Primary</w:t>
            </w:r>
          </w:p>
        </w:tc>
        <w:tc>
          <w:tcPr>
            <w:tcW w:w="3081" w:type="dxa"/>
          </w:tcPr>
          <w:p w:rsidR="00983569" w:rsidRDefault="00983569" w:rsidP="00E316D4">
            <w:r>
              <w:t>National 2016</w:t>
            </w:r>
          </w:p>
        </w:tc>
      </w:tr>
      <w:tr w:rsidR="00983569" w:rsidTr="00E316D4">
        <w:tc>
          <w:tcPr>
            <w:tcW w:w="3080" w:type="dxa"/>
          </w:tcPr>
          <w:p w:rsidR="00983569" w:rsidRDefault="00983569" w:rsidP="00E316D4">
            <w:r>
              <w:t>Children who passed the check (achieving a mark of 32/40 or more)</w:t>
            </w:r>
          </w:p>
        </w:tc>
        <w:tc>
          <w:tcPr>
            <w:tcW w:w="3081" w:type="dxa"/>
          </w:tcPr>
          <w:p w:rsidR="00983569" w:rsidRDefault="00983569" w:rsidP="00E316D4"/>
          <w:p w:rsidR="00983569" w:rsidRDefault="00983569" w:rsidP="00E316D4">
            <w:r>
              <w:t xml:space="preserve"> 84%</w:t>
            </w:r>
          </w:p>
        </w:tc>
        <w:tc>
          <w:tcPr>
            <w:tcW w:w="3081" w:type="dxa"/>
          </w:tcPr>
          <w:p w:rsidR="00983569" w:rsidRDefault="00983569" w:rsidP="00E316D4"/>
          <w:p w:rsidR="00983569" w:rsidRDefault="00983569" w:rsidP="00E316D4">
            <w:r>
              <w:t xml:space="preserve">  81%</w:t>
            </w:r>
          </w:p>
        </w:tc>
      </w:tr>
    </w:tbl>
    <w:p w:rsidR="00983569" w:rsidRPr="00646A5E" w:rsidRDefault="00983569" w:rsidP="00983569">
      <w:pPr>
        <w:rPr>
          <w:u w:val="single"/>
        </w:rPr>
      </w:pPr>
    </w:p>
    <w:p w:rsidR="00983569" w:rsidRDefault="00983569" w:rsidP="00983569"/>
    <w:p w:rsidR="00983569" w:rsidRDefault="00983569" w:rsidP="00983569"/>
    <w:p w:rsidR="00983569" w:rsidRDefault="00983569" w:rsidP="00983569">
      <w:r>
        <w:t xml:space="preserve">At the end of Year 6 children sit the end of Key Stage 2 SATs tests to show how well they are performing against national expectations.  Results of how children did nationally have been published for us to compare ourselves to. </w:t>
      </w:r>
    </w:p>
    <w:p w:rsidR="00983569" w:rsidRPr="00504819" w:rsidRDefault="00983569" w:rsidP="00983569">
      <w:pPr>
        <w:rPr>
          <w:b/>
          <w:u w:val="single"/>
        </w:rPr>
      </w:pPr>
      <w:r w:rsidRPr="00504819">
        <w:rPr>
          <w:b/>
          <w:u w:val="single"/>
        </w:rPr>
        <w:t>End of Key Stage 2 (Year 6)</w:t>
      </w:r>
    </w:p>
    <w:tbl>
      <w:tblPr>
        <w:tblStyle w:val="TableGrid"/>
        <w:tblW w:w="0" w:type="auto"/>
        <w:tblLook w:val="04A0"/>
      </w:tblPr>
      <w:tblGrid>
        <w:gridCol w:w="3652"/>
        <w:gridCol w:w="2835"/>
        <w:gridCol w:w="2755"/>
      </w:tblGrid>
      <w:tr w:rsidR="00983569" w:rsidTr="00E316D4">
        <w:tc>
          <w:tcPr>
            <w:tcW w:w="3652" w:type="dxa"/>
          </w:tcPr>
          <w:p w:rsidR="00983569" w:rsidRDefault="00983569" w:rsidP="00E316D4"/>
        </w:tc>
        <w:tc>
          <w:tcPr>
            <w:tcW w:w="2835" w:type="dxa"/>
          </w:tcPr>
          <w:p w:rsidR="00983569" w:rsidRDefault="00983569" w:rsidP="00E316D4">
            <w:r>
              <w:t>Great Linford Primary</w:t>
            </w:r>
          </w:p>
        </w:tc>
        <w:tc>
          <w:tcPr>
            <w:tcW w:w="2755" w:type="dxa"/>
          </w:tcPr>
          <w:p w:rsidR="00983569" w:rsidRDefault="00983569" w:rsidP="00E316D4">
            <w:r>
              <w:t>National 2017</w:t>
            </w:r>
          </w:p>
        </w:tc>
      </w:tr>
      <w:tr w:rsidR="00983569" w:rsidTr="00E316D4">
        <w:tc>
          <w:tcPr>
            <w:tcW w:w="9242" w:type="dxa"/>
            <w:gridSpan w:val="3"/>
            <w:shd w:val="clear" w:color="auto" w:fill="D9D9D9" w:themeFill="background1" w:themeFillShade="D9"/>
          </w:tcPr>
          <w:p w:rsidR="00983569" w:rsidRDefault="00983569" w:rsidP="00E316D4">
            <w:r>
              <w:rPr>
                <w:b/>
              </w:rPr>
              <w:t>Expected standards</w:t>
            </w:r>
          </w:p>
        </w:tc>
      </w:tr>
      <w:tr w:rsidR="00983569" w:rsidTr="00E316D4">
        <w:tc>
          <w:tcPr>
            <w:tcW w:w="3652" w:type="dxa"/>
          </w:tcPr>
          <w:p w:rsidR="00983569" w:rsidRDefault="00983569" w:rsidP="00E316D4">
            <w:r>
              <w:t>Reading</w:t>
            </w:r>
          </w:p>
        </w:tc>
        <w:tc>
          <w:tcPr>
            <w:tcW w:w="2835" w:type="dxa"/>
          </w:tcPr>
          <w:p w:rsidR="00983569" w:rsidRDefault="00983569" w:rsidP="00E316D4">
            <w:r>
              <w:t>87%</w:t>
            </w:r>
          </w:p>
        </w:tc>
        <w:tc>
          <w:tcPr>
            <w:tcW w:w="2755" w:type="dxa"/>
          </w:tcPr>
          <w:p w:rsidR="00983569" w:rsidRDefault="00983569" w:rsidP="00E316D4">
            <w:r>
              <w:t>71%</w:t>
            </w:r>
          </w:p>
        </w:tc>
      </w:tr>
      <w:tr w:rsidR="00983569" w:rsidTr="00E316D4">
        <w:tc>
          <w:tcPr>
            <w:tcW w:w="3652" w:type="dxa"/>
          </w:tcPr>
          <w:p w:rsidR="00983569" w:rsidRDefault="00983569" w:rsidP="00E316D4">
            <w:r>
              <w:t>Writing</w:t>
            </w:r>
          </w:p>
        </w:tc>
        <w:tc>
          <w:tcPr>
            <w:tcW w:w="2835" w:type="dxa"/>
          </w:tcPr>
          <w:p w:rsidR="00983569" w:rsidRDefault="00983569" w:rsidP="00E316D4">
            <w:r>
              <w:t>80%</w:t>
            </w:r>
          </w:p>
        </w:tc>
        <w:tc>
          <w:tcPr>
            <w:tcW w:w="2755" w:type="dxa"/>
          </w:tcPr>
          <w:p w:rsidR="00983569" w:rsidRDefault="00983569" w:rsidP="00E316D4">
            <w:r>
              <w:t>76%</w:t>
            </w:r>
          </w:p>
        </w:tc>
      </w:tr>
      <w:tr w:rsidR="00983569" w:rsidTr="00E316D4">
        <w:tc>
          <w:tcPr>
            <w:tcW w:w="3652" w:type="dxa"/>
          </w:tcPr>
          <w:p w:rsidR="00983569" w:rsidRDefault="00983569" w:rsidP="00E316D4">
            <w:r>
              <w:t>Maths</w:t>
            </w:r>
          </w:p>
        </w:tc>
        <w:tc>
          <w:tcPr>
            <w:tcW w:w="2835" w:type="dxa"/>
          </w:tcPr>
          <w:p w:rsidR="00983569" w:rsidRDefault="00983569" w:rsidP="00E316D4">
            <w:r>
              <w:t>83%</w:t>
            </w:r>
          </w:p>
        </w:tc>
        <w:tc>
          <w:tcPr>
            <w:tcW w:w="2755" w:type="dxa"/>
          </w:tcPr>
          <w:p w:rsidR="00983569" w:rsidRDefault="00983569" w:rsidP="00E316D4">
            <w:r>
              <w:t>75%</w:t>
            </w:r>
          </w:p>
        </w:tc>
      </w:tr>
      <w:tr w:rsidR="00983569" w:rsidTr="00E316D4">
        <w:tc>
          <w:tcPr>
            <w:tcW w:w="3652" w:type="dxa"/>
          </w:tcPr>
          <w:p w:rsidR="00983569" w:rsidRDefault="00983569" w:rsidP="00E316D4">
            <w:r>
              <w:t>Grammar, punctuation and spelling</w:t>
            </w:r>
          </w:p>
        </w:tc>
        <w:tc>
          <w:tcPr>
            <w:tcW w:w="2835" w:type="dxa"/>
          </w:tcPr>
          <w:p w:rsidR="00983569" w:rsidRDefault="00983569" w:rsidP="00E316D4">
            <w:r>
              <w:t>83%</w:t>
            </w:r>
          </w:p>
        </w:tc>
        <w:tc>
          <w:tcPr>
            <w:tcW w:w="2755" w:type="dxa"/>
          </w:tcPr>
          <w:p w:rsidR="00983569" w:rsidRDefault="00983569" w:rsidP="00E316D4">
            <w:r>
              <w:t>77%</w:t>
            </w:r>
          </w:p>
        </w:tc>
      </w:tr>
      <w:tr w:rsidR="00983569" w:rsidTr="00E316D4">
        <w:tc>
          <w:tcPr>
            <w:tcW w:w="9242" w:type="dxa"/>
            <w:gridSpan w:val="3"/>
            <w:shd w:val="clear" w:color="auto" w:fill="D9D9D9" w:themeFill="background1" w:themeFillShade="D9"/>
          </w:tcPr>
          <w:p w:rsidR="00983569" w:rsidRDefault="00983569" w:rsidP="00E316D4">
            <w:r>
              <w:rPr>
                <w:b/>
              </w:rPr>
              <w:t>Greater depth standards</w:t>
            </w:r>
          </w:p>
        </w:tc>
      </w:tr>
      <w:tr w:rsidR="00983569" w:rsidTr="00E316D4">
        <w:tc>
          <w:tcPr>
            <w:tcW w:w="3652" w:type="dxa"/>
          </w:tcPr>
          <w:p w:rsidR="00983569" w:rsidRDefault="00983569" w:rsidP="00E316D4">
            <w:r>
              <w:t>Reading</w:t>
            </w:r>
          </w:p>
        </w:tc>
        <w:tc>
          <w:tcPr>
            <w:tcW w:w="2835" w:type="dxa"/>
          </w:tcPr>
          <w:p w:rsidR="00983569" w:rsidRDefault="00983569" w:rsidP="00E316D4">
            <w:r>
              <w:t>20%</w:t>
            </w:r>
          </w:p>
        </w:tc>
        <w:tc>
          <w:tcPr>
            <w:tcW w:w="2755" w:type="dxa"/>
          </w:tcPr>
          <w:p w:rsidR="00983569" w:rsidRDefault="00983569" w:rsidP="00E316D4">
            <w:r>
              <w:t>25%</w:t>
            </w:r>
          </w:p>
        </w:tc>
      </w:tr>
      <w:tr w:rsidR="00983569" w:rsidTr="00E316D4">
        <w:tc>
          <w:tcPr>
            <w:tcW w:w="3652" w:type="dxa"/>
          </w:tcPr>
          <w:p w:rsidR="00983569" w:rsidRDefault="00983569" w:rsidP="00E316D4">
            <w:r>
              <w:t>Writing</w:t>
            </w:r>
          </w:p>
        </w:tc>
        <w:tc>
          <w:tcPr>
            <w:tcW w:w="2835" w:type="dxa"/>
          </w:tcPr>
          <w:p w:rsidR="00983569" w:rsidRDefault="00983569" w:rsidP="00E316D4">
            <w:r>
              <w:t>20%</w:t>
            </w:r>
          </w:p>
        </w:tc>
        <w:tc>
          <w:tcPr>
            <w:tcW w:w="2755" w:type="dxa"/>
          </w:tcPr>
          <w:p w:rsidR="00983569" w:rsidRDefault="00983569" w:rsidP="00E316D4">
            <w:r>
              <w:t>18%</w:t>
            </w:r>
          </w:p>
        </w:tc>
      </w:tr>
      <w:tr w:rsidR="00983569" w:rsidTr="00E316D4">
        <w:tc>
          <w:tcPr>
            <w:tcW w:w="3652" w:type="dxa"/>
          </w:tcPr>
          <w:p w:rsidR="00983569" w:rsidRDefault="00983569" w:rsidP="00E316D4">
            <w:r>
              <w:t>Maths</w:t>
            </w:r>
          </w:p>
        </w:tc>
        <w:tc>
          <w:tcPr>
            <w:tcW w:w="2835" w:type="dxa"/>
          </w:tcPr>
          <w:p w:rsidR="00983569" w:rsidRDefault="00983569" w:rsidP="00E316D4">
            <w:r>
              <w:t>15%</w:t>
            </w:r>
          </w:p>
        </w:tc>
        <w:tc>
          <w:tcPr>
            <w:tcW w:w="2755" w:type="dxa"/>
          </w:tcPr>
          <w:p w:rsidR="00983569" w:rsidRDefault="00983569" w:rsidP="00E316D4">
            <w:r>
              <w:t>23%</w:t>
            </w:r>
          </w:p>
        </w:tc>
      </w:tr>
      <w:tr w:rsidR="00983569" w:rsidTr="00E316D4">
        <w:tc>
          <w:tcPr>
            <w:tcW w:w="3652" w:type="dxa"/>
          </w:tcPr>
          <w:p w:rsidR="00983569" w:rsidRDefault="00983569" w:rsidP="00E316D4">
            <w:r>
              <w:t>Grammar, punctuation and spelling</w:t>
            </w:r>
          </w:p>
        </w:tc>
        <w:tc>
          <w:tcPr>
            <w:tcW w:w="2835" w:type="dxa"/>
          </w:tcPr>
          <w:p w:rsidR="00983569" w:rsidRDefault="00983569" w:rsidP="00E316D4">
            <w:r>
              <w:t>30%</w:t>
            </w:r>
          </w:p>
        </w:tc>
        <w:tc>
          <w:tcPr>
            <w:tcW w:w="2755" w:type="dxa"/>
          </w:tcPr>
          <w:p w:rsidR="00983569" w:rsidRDefault="00983569" w:rsidP="00E316D4">
            <w:r>
              <w:t>31%</w:t>
            </w:r>
          </w:p>
        </w:tc>
      </w:tr>
    </w:tbl>
    <w:p w:rsidR="00983569" w:rsidRDefault="00983569" w:rsidP="00983569"/>
    <w:p w:rsidR="00983569" w:rsidRDefault="00983569" w:rsidP="00983569">
      <w:r>
        <w:t xml:space="preserve">As a school, we are judged on the progress we make with our children across Key Stage 2. The progress we made this year was </w:t>
      </w:r>
      <w:r w:rsidRPr="000B5977">
        <w:rPr>
          <w:b/>
        </w:rPr>
        <w:t>above</w:t>
      </w:r>
      <w:r>
        <w:t xml:space="preserve"> that of other schools nationally. The table below shows on average, how many more marks our children achieved on the tests than children similar to them nationally.</w:t>
      </w:r>
    </w:p>
    <w:tbl>
      <w:tblPr>
        <w:tblStyle w:val="TableGrid"/>
        <w:tblW w:w="0" w:type="auto"/>
        <w:tblLook w:val="04A0"/>
      </w:tblPr>
      <w:tblGrid>
        <w:gridCol w:w="1384"/>
        <w:gridCol w:w="7858"/>
      </w:tblGrid>
      <w:tr w:rsidR="00983569" w:rsidTr="00E316D4">
        <w:tc>
          <w:tcPr>
            <w:tcW w:w="1384" w:type="dxa"/>
          </w:tcPr>
          <w:p w:rsidR="00983569" w:rsidRDefault="00983569" w:rsidP="00E316D4"/>
        </w:tc>
        <w:tc>
          <w:tcPr>
            <w:tcW w:w="7858" w:type="dxa"/>
          </w:tcPr>
          <w:p w:rsidR="00983569" w:rsidRPr="00504819" w:rsidRDefault="00983569" w:rsidP="00E316D4">
            <w:pPr>
              <w:rPr>
                <w:b/>
              </w:rPr>
            </w:pPr>
            <w:r w:rsidRPr="00504819">
              <w:rPr>
                <w:b/>
              </w:rPr>
              <w:t>Progress</w:t>
            </w:r>
          </w:p>
          <w:p w:rsidR="00983569" w:rsidRDefault="00983569" w:rsidP="00E316D4">
            <w:r>
              <w:t>A positive score= children performed better than children nationally</w:t>
            </w:r>
          </w:p>
          <w:p w:rsidR="00983569" w:rsidRDefault="00983569" w:rsidP="00E316D4">
            <w:r>
              <w:t>A negative score = children did not perform as well as children nationally</w:t>
            </w:r>
          </w:p>
        </w:tc>
      </w:tr>
      <w:tr w:rsidR="00983569" w:rsidTr="00E316D4">
        <w:tc>
          <w:tcPr>
            <w:tcW w:w="1384" w:type="dxa"/>
          </w:tcPr>
          <w:p w:rsidR="00983569" w:rsidRDefault="00983569" w:rsidP="00E316D4">
            <w:r>
              <w:t>Reading</w:t>
            </w:r>
          </w:p>
        </w:tc>
        <w:tc>
          <w:tcPr>
            <w:tcW w:w="7858" w:type="dxa"/>
          </w:tcPr>
          <w:p w:rsidR="00983569" w:rsidRDefault="00983569" w:rsidP="00E316D4">
            <w:r>
              <w:t xml:space="preserve"> +3.1</w:t>
            </w:r>
          </w:p>
        </w:tc>
      </w:tr>
      <w:tr w:rsidR="00983569" w:rsidTr="00E316D4">
        <w:tc>
          <w:tcPr>
            <w:tcW w:w="1384" w:type="dxa"/>
          </w:tcPr>
          <w:p w:rsidR="00983569" w:rsidRDefault="00983569" w:rsidP="00E316D4">
            <w:r>
              <w:t>Writing</w:t>
            </w:r>
          </w:p>
        </w:tc>
        <w:tc>
          <w:tcPr>
            <w:tcW w:w="7858" w:type="dxa"/>
          </w:tcPr>
          <w:p w:rsidR="00983569" w:rsidRDefault="00983569" w:rsidP="00E316D4">
            <w:r>
              <w:t>+3.1</w:t>
            </w:r>
          </w:p>
        </w:tc>
      </w:tr>
      <w:tr w:rsidR="00983569" w:rsidTr="00E316D4">
        <w:tc>
          <w:tcPr>
            <w:tcW w:w="1384" w:type="dxa"/>
          </w:tcPr>
          <w:p w:rsidR="00983569" w:rsidRDefault="00983569" w:rsidP="00E316D4">
            <w:r>
              <w:t>Maths</w:t>
            </w:r>
          </w:p>
        </w:tc>
        <w:tc>
          <w:tcPr>
            <w:tcW w:w="7858" w:type="dxa"/>
          </w:tcPr>
          <w:p w:rsidR="00983569" w:rsidRDefault="00983569" w:rsidP="00E316D4">
            <w:r>
              <w:t>+1.5</w:t>
            </w:r>
          </w:p>
        </w:tc>
      </w:tr>
    </w:tbl>
    <w:p w:rsidR="00983569" w:rsidRDefault="00983569" w:rsidP="00983569"/>
    <w:p w:rsidR="00983569" w:rsidRDefault="00983569" w:rsidP="00983569">
      <w:r>
        <w:lastRenderedPageBreak/>
        <w:t xml:space="preserve">The results above are a credit to our school and our families.  Without the daily dedication of the children, staff and parents working together in partnership we would not be able to achieve these results.  </w:t>
      </w:r>
    </w:p>
    <w:p w:rsidR="00983569" w:rsidRDefault="00983569" w:rsidP="00983569">
      <w:r>
        <w:t>Last year we won the award for the most Inspirational School in Milton Keynes, thank you to all of the families who voted – it is such a privilege to be the Head of such an exciting forward looking school!</w:t>
      </w:r>
    </w:p>
    <w:p w:rsidR="00983569" w:rsidRDefault="00983569" w:rsidP="00983569">
      <w:r>
        <w:t>I look forward to greeting you on the school gates. Enjoy the Autumn Term,</w:t>
      </w:r>
    </w:p>
    <w:p w:rsidR="00983569" w:rsidRDefault="00983569" w:rsidP="00983569">
      <w:r>
        <w:t xml:space="preserve">Warmest Wishes </w:t>
      </w:r>
    </w:p>
    <w:p w:rsidR="00983569" w:rsidRPr="00646A5E" w:rsidRDefault="00983569" w:rsidP="00983569">
      <w:r>
        <w:t xml:space="preserve">Tara Lovelock </w:t>
      </w:r>
    </w:p>
    <w:p w:rsidR="009D580E" w:rsidRDefault="009D580E" w:rsidP="00F5468D"/>
    <w:p w:rsidR="00B432E2" w:rsidRDefault="00B432E2" w:rsidP="00F5468D"/>
    <w:p w:rsidR="004E608E" w:rsidRDefault="004E608E" w:rsidP="004E608E"/>
    <w:p w:rsidR="004D0F38" w:rsidRDefault="004D0F38" w:rsidP="004E608E"/>
    <w:p w:rsidR="004E608E" w:rsidRDefault="004E608E" w:rsidP="004E608E"/>
    <w:p w:rsidR="004E608E" w:rsidRDefault="004E608E" w:rsidP="004E608E"/>
    <w:p w:rsidR="004E608E" w:rsidRDefault="004E608E" w:rsidP="004E608E"/>
    <w:p w:rsidR="004E608E" w:rsidRPr="004E608E" w:rsidRDefault="004E608E" w:rsidP="004E608E"/>
    <w:sectPr w:rsidR="004E608E" w:rsidRPr="004E608E" w:rsidSect="00C6363B">
      <w:headerReference w:type="even" r:id="rId8"/>
      <w:headerReference w:type="default" r:id="rId9"/>
      <w:footerReference w:type="even" r:id="rId10"/>
      <w:footerReference w:type="default" r:id="rId11"/>
      <w:headerReference w:type="first" r:id="rId12"/>
      <w:footerReference w:type="first" r:id="rId13"/>
      <w:pgSz w:w="11907" w:h="16840" w:code="9"/>
      <w:pgMar w:top="2793" w:right="992" w:bottom="2694" w:left="993" w:header="709" w:footer="603"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7AEF" w:rsidRDefault="000F7AEF">
      <w:r>
        <w:separator/>
      </w:r>
    </w:p>
  </w:endnote>
  <w:endnote w:type="continuationSeparator" w:id="0">
    <w:p w:rsidR="000F7AEF" w:rsidRDefault="000F7AE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9C3" w:rsidRDefault="004D79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198162"/>
      <w:docPartObj>
        <w:docPartGallery w:val="Page Numbers (Bottom of Page)"/>
        <w:docPartUnique/>
      </w:docPartObj>
    </w:sdtPr>
    <w:sdtEndPr>
      <w:rPr>
        <w:noProof/>
      </w:rPr>
    </w:sdtEndPr>
    <w:sdtContent>
      <w:p w:rsidR="00C6363B" w:rsidRDefault="00C6363B">
        <w:pPr>
          <w:pStyle w:val="Footer"/>
        </w:pPr>
        <w:r>
          <w:t xml:space="preserve">Page </w:t>
        </w:r>
        <w:r w:rsidR="00250635">
          <w:fldChar w:fldCharType="begin"/>
        </w:r>
        <w:r>
          <w:instrText xml:space="preserve"> PAGE   \* MERGEFORMAT </w:instrText>
        </w:r>
        <w:r w:rsidR="00250635">
          <w:fldChar w:fldCharType="separate"/>
        </w:r>
        <w:r w:rsidR="00B66C42">
          <w:rPr>
            <w:noProof/>
          </w:rPr>
          <w:t>2</w:t>
        </w:r>
        <w:r w:rsidR="00250635">
          <w:rPr>
            <w:noProof/>
          </w:rPr>
          <w:fldChar w:fldCharType="end"/>
        </w:r>
      </w:p>
    </w:sdtContent>
  </w:sdt>
  <w:p w:rsidR="00773CEA" w:rsidRDefault="00773CEA" w:rsidP="00373958">
    <w:pPr>
      <w:pStyle w:val="Footer"/>
      <w:tabs>
        <w:tab w:val="left" w:pos="2160"/>
        <w:tab w:val="left" w:pos="6240"/>
        <w:tab w:val="left" w:pos="7800"/>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pPr w:leftFromText="181" w:rightFromText="181" w:bottomFromText="278" w:vertAnchor="page" w:tblpX="-379" w:tblpYSpec="bottom"/>
      <w:tblOverlap w:val="never"/>
      <w:tblW w:w="108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bottom w:w="57" w:type="dxa"/>
      </w:tblCellMar>
      <w:tblLook w:val="04A0"/>
    </w:tblPr>
    <w:tblGrid>
      <w:gridCol w:w="533"/>
      <w:gridCol w:w="1560"/>
      <w:gridCol w:w="347"/>
      <w:gridCol w:w="1779"/>
      <w:gridCol w:w="1418"/>
      <w:gridCol w:w="283"/>
      <w:gridCol w:w="1134"/>
      <w:gridCol w:w="66"/>
      <w:gridCol w:w="2060"/>
      <w:gridCol w:w="1660"/>
      <w:gridCol w:w="8"/>
    </w:tblGrid>
    <w:tr w:rsidR="00CD72A8" w:rsidRPr="001A2364" w:rsidTr="00D57FD7">
      <w:trPr>
        <w:gridAfter w:val="1"/>
        <w:wAfter w:w="8" w:type="dxa"/>
        <w:trHeight w:val="20"/>
      </w:trPr>
      <w:tc>
        <w:tcPr>
          <w:tcW w:w="533" w:type="dxa"/>
          <w:vAlign w:val="bottom"/>
        </w:tcPr>
        <w:p w:rsidR="00CD72A8" w:rsidRPr="001A2364" w:rsidRDefault="00CD72A8" w:rsidP="00C517C6">
          <w:pPr>
            <w:pStyle w:val="Footer"/>
            <w:tabs>
              <w:tab w:val="left" w:pos="2160"/>
              <w:tab w:val="left" w:pos="6240"/>
              <w:tab w:val="left" w:pos="7800"/>
            </w:tabs>
            <w:rPr>
              <w:color w:val="404040" w:themeColor="text1" w:themeTint="BF"/>
              <w:sz w:val="18"/>
              <w:szCs w:val="18"/>
            </w:rPr>
          </w:pPr>
        </w:p>
      </w:tc>
      <w:tc>
        <w:tcPr>
          <w:tcW w:w="1907" w:type="dxa"/>
          <w:gridSpan w:val="2"/>
          <w:vAlign w:val="bottom"/>
        </w:tcPr>
        <w:p w:rsidR="00CD72A8" w:rsidRPr="001A2364" w:rsidRDefault="00CD72A8" w:rsidP="00C517C6">
          <w:pPr>
            <w:pStyle w:val="Footer"/>
            <w:tabs>
              <w:tab w:val="left" w:pos="2160"/>
              <w:tab w:val="left" w:pos="6240"/>
              <w:tab w:val="left" w:pos="7800"/>
            </w:tabs>
            <w:rPr>
              <w:color w:val="404040" w:themeColor="text1" w:themeTint="BF"/>
              <w:sz w:val="18"/>
              <w:szCs w:val="18"/>
            </w:rPr>
          </w:pPr>
          <w:r w:rsidRPr="001A2364">
            <w:rPr>
              <w:color w:val="404040" w:themeColor="text1" w:themeTint="BF"/>
              <w:sz w:val="18"/>
              <w:szCs w:val="18"/>
            </w:rPr>
            <w:t>Head Teacher</w:t>
          </w:r>
        </w:p>
      </w:tc>
      <w:tc>
        <w:tcPr>
          <w:tcW w:w="3480" w:type="dxa"/>
          <w:gridSpan w:val="3"/>
          <w:vAlign w:val="bottom"/>
        </w:tcPr>
        <w:p w:rsidR="00CD72A8" w:rsidRPr="001A2364" w:rsidRDefault="00CD72A8" w:rsidP="00C517C6">
          <w:pPr>
            <w:pStyle w:val="Footer"/>
            <w:tabs>
              <w:tab w:val="left" w:pos="2160"/>
              <w:tab w:val="left" w:pos="6240"/>
              <w:tab w:val="left" w:pos="7800"/>
            </w:tabs>
            <w:ind w:left="77"/>
            <w:rPr>
              <w:color w:val="404040" w:themeColor="text1" w:themeTint="BF"/>
              <w:sz w:val="18"/>
              <w:szCs w:val="18"/>
            </w:rPr>
          </w:pPr>
          <w:r w:rsidRPr="001A2364">
            <w:rPr>
              <w:color w:val="404040" w:themeColor="text1" w:themeTint="BF"/>
              <w:sz w:val="18"/>
              <w:szCs w:val="18"/>
            </w:rPr>
            <w:t>Tara Lovelock  BSc(Hons) PGCE</w:t>
          </w:r>
        </w:p>
      </w:tc>
      <w:tc>
        <w:tcPr>
          <w:tcW w:w="1200" w:type="dxa"/>
          <w:gridSpan w:val="2"/>
          <w:vAlign w:val="bottom"/>
        </w:tcPr>
        <w:p w:rsidR="00CD72A8" w:rsidRPr="001A2364" w:rsidRDefault="00CD72A8" w:rsidP="00C517C6">
          <w:pPr>
            <w:pStyle w:val="Footer"/>
            <w:tabs>
              <w:tab w:val="left" w:pos="2160"/>
              <w:tab w:val="left" w:pos="6240"/>
              <w:tab w:val="left" w:pos="7800"/>
            </w:tabs>
            <w:rPr>
              <w:color w:val="404040" w:themeColor="text1" w:themeTint="BF"/>
              <w:sz w:val="18"/>
              <w:szCs w:val="18"/>
            </w:rPr>
          </w:pPr>
          <w:r w:rsidRPr="001A2364">
            <w:rPr>
              <w:color w:val="404040" w:themeColor="text1" w:themeTint="BF"/>
              <w:sz w:val="18"/>
              <w:szCs w:val="18"/>
            </w:rPr>
            <w:t>Telephone</w:t>
          </w:r>
        </w:p>
      </w:tc>
      <w:tc>
        <w:tcPr>
          <w:tcW w:w="3720" w:type="dxa"/>
          <w:gridSpan w:val="2"/>
          <w:vAlign w:val="bottom"/>
        </w:tcPr>
        <w:p w:rsidR="00CD72A8" w:rsidRPr="001A2364" w:rsidRDefault="00CD72A8" w:rsidP="00C517C6">
          <w:pPr>
            <w:pStyle w:val="Footer"/>
            <w:tabs>
              <w:tab w:val="left" w:pos="2160"/>
              <w:tab w:val="left" w:pos="6240"/>
              <w:tab w:val="left" w:pos="7800"/>
            </w:tabs>
            <w:rPr>
              <w:color w:val="404040" w:themeColor="text1" w:themeTint="BF"/>
              <w:sz w:val="18"/>
              <w:szCs w:val="18"/>
            </w:rPr>
          </w:pPr>
          <w:r w:rsidRPr="001A2364">
            <w:rPr>
              <w:color w:val="404040" w:themeColor="text1" w:themeTint="BF"/>
              <w:sz w:val="18"/>
              <w:szCs w:val="18"/>
            </w:rPr>
            <w:t>01908 605027</w:t>
          </w:r>
        </w:p>
      </w:tc>
    </w:tr>
    <w:tr w:rsidR="00CD72A8" w:rsidRPr="001A2364" w:rsidTr="00D57FD7">
      <w:trPr>
        <w:gridAfter w:val="1"/>
        <w:wAfter w:w="8" w:type="dxa"/>
        <w:trHeight w:val="20"/>
      </w:trPr>
      <w:tc>
        <w:tcPr>
          <w:tcW w:w="533" w:type="dxa"/>
          <w:vAlign w:val="bottom"/>
        </w:tcPr>
        <w:p w:rsidR="00CD72A8" w:rsidRPr="001A2364" w:rsidRDefault="00CD72A8" w:rsidP="00C517C6">
          <w:pPr>
            <w:pStyle w:val="Footer"/>
            <w:tabs>
              <w:tab w:val="left" w:pos="2160"/>
              <w:tab w:val="left" w:pos="6240"/>
              <w:tab w:val="left" w:pos="7800"/>
            </w:tabs>
            <w:rPr>
              <w:color w:val="404040" w:themeColor="text1" w:themeTint="BF"/>
              <w:sz w:val="18"/>
              <w:szCs w:val="18"/>
            </w:rPr>
          </w:pPr>
        </w:p>
      </w:tc>
      <w:tc>
        <w:tcPr>
          <w:tcW w:w="1907" w:type="dxa"/>
          <w:gridSpan w:val="2"/>
          <w:vAlign w:val="bottom"/>
        </w:tcPr>
        <w:p w:rsidR="00CD72A8" w:rsidRPr="001A2364" w:rsidRDefault="00CD72A8" w:rsidP="00C517C6">
          <w:pPr>
            <w:pStyle w:val="Footer"/>
            <w:tabs>
              <w:tab w:val="left" w:pos="2160"/>
              <w:tab w:val="left" w:pos="6240"/>
              <w:tab w:val="left" w:pos="7800"/>
            </w:tabs>
            <w:rPr>
              <w:color w:val="404040" w:themeColor="text1" w:themeTint="BF"/>
              <w:sz w:val="18"/>
              <w:szCs w:val="18"/>
            </w:rPr>
          </w:pPr>
          <w:r w:rsidRPr="001A2364">
            <w:rPr>
              <w:color w:val="404040" w:themeColor="text1" w:themeTint="BF"/>
              <w:sz w:val="18"/>
              <w:szCs w:val="18"/>
            </w:rPr>
            <w:t>Assistant Head</w:t>
          </w:r>
        </w:p>
      </w:tc>
      <w:tc>
        <w:tcPr>
          <w:tcW w:w="3480" w:type="dxa"/>
          <w:gridSpan w:val="3"/>
          <w:vAlign w:val="bottom"/>
        </w:tcPr>
        <w:p w:rsidR="00CD72A8" w:rsidRPr="001A2364" w:rsidRDefault="00CD72A8" w:rsidP="00C517C6">
          <w:pPr>
            <w:pStyle w:val="Footer"/>
            <w:tabs>
              <w:tab w:val="left" w:pos="2160"/>
              <w:tab w:val="left" w:pos="6240"/>
              <w:tab w:val="left" w:pos="7800"/>
            </w:tabs>
            <w:ind w:left="77"/>
            <w:rPr>
              <w:color w:val="404040" w:themeColor="text1" w:themeTint="BF"/>
              <w:sz w:val="18"/>
              <w:szCs w:val="18"/>
            </w:rPr>
          </w:pPr>
          <w:r w:rsidRPr="001A2364">
            <w:rPr>
              <w:color w:val="404040" w:themeColor="text1" w:themeTint="BF"/>
              <w:sz w:val="18"/>
              <w:szCs w:val="18"/>
            </w:rPr>
            <w:t>Alex Kerrigan</w:t>
          </w:r>
        </w:p>
      </w:tc>
      <w:tc>
        <w:tcPr>
          <w:tcW w:w="1200" w:type="dxa"/>
          <w:gridSpan w:val="2"/>
          <w:vAlign w:val="bottom"/>
        </w:tcPr>
        <w:p w:rsidR="00CD72A8" w:rsidRPr="001A2364" w:rsidRDefault="00CD72A8" w:rsidP="00C517C6">
          <w:pPr>
            <w:pStyle w:val="Footer"/>
            <w:tabs>
              <w:tab w:val="left" w:pos="2160"/>
              <w:tab w:val="left" w:pos="6240"/>
              <w:tab w:val="left" w:pos="7800"/>
            </w:tabs>
            <w:rPr>
              <w:color w:val="404040" w:themeColor="text1" w:themeTint="BF"/>
              <w:sz w:val="18"/>
              <w:szCs w:val="18"/>
            </w:rPr>
          </w:pPr>
          <w:r w:rsidRPr="001A2364">
            <w:rPr>
              <w:color w:val="404040" w:themeColor="text1" w:themeTint="BF"/>
              <w:sz w:val="18"/>
              <w:szCs w:val="18"/>
            </w:rPr>
            <w:t>Facsimile</w:t>
          </w:r>
        </w:p>
      </w:tc>
      <w:tc>
        <w:tcPr>
          <w:tcW w:w="3720" w:type="dxa"/>
          <w:gridSpan w:val="2"/>
          <w:vAlign w:val="bottom"/>
        </w:tcPr>
        <w:p w:rsidR="00CD72A8" w:rsidRPr="001A2364" w:rsidRDefault="00CD72A8" w:rsidP="00C517C6">
          <w:pPr>
            <w:pStyle w:val="Footer"/>
            <w:tabs>
              <w:tab w:val="left" w:pos="2160"/>
              <w:tab w:val="left" w:pos="6240"/>
              <w:tab w:val="left" w:pos="7800"/>
            </w:tabs>
            <w:rPr>
              <w:color w:val="404040" w:themeColor="text1" w:themeTint="BF"/>
              <w:sz w:val="18"/>
              <w:szCs w:val="18"/>
            </w:rPr>
          </w:pPr>
          <w:r w:rsidRPr="001A2364">
            <w:rPr>
              <w:color w:val="404040" w:themeColor="text1" w:themeTint="BF"/>
              <w:sz w:val="18"/>
              <w:szCs w:val="18"/>
            </w:rPr>
            <w:t>01908 231672</w:t>
          </w:r>
        </w:p>
      </w:tc>
    </w:tr>
    <w:tr w:rsidR="00CD72A8" w:rsidRPr="001A2364" w:rsidTr="00D57FD7">
      <w:trPr>
        <w:gridAfter w:val="1"/>
        <w:wAfter w:w="8" w:type="dxa"/>
        <w:trHeight w:val="20"/>
      </w:trPr>
      <w:tc>
        <w:tcPr>
          <w:tcW w:w="533" w:type="dxa"/>
          <w:vAlign w:val="bottom"/>
        </w:tcPr>
        <w:p w:rsidR="00CD72A8" w:rsidRPr="001A2364" w:rsidRDefault="00CD72A8" w:rsidP="00C517C6">
          <w:pPr>
            <w:pStyle w:val="Footer"/>
            <w:tabs>
              <w:tab w:val="left" w:pos="2160"/>
              <w:tab w:val="left" w:pos="6240"/>
              <w:tab w:val="left" w:pos="7800"/>
            </w:tabs>
            <w:rPr>
              <w:color w:val="404040" w:themeColor="text1" w:themeTint="BF"/>
              <w:sz w:val="18"/>
              <w:szCs w:val="18"/>
            </w:rPr>
          </w:pPr>
        </w:p>
      </w:tc>
      <w:tc>
        <w:tcPr>
          <w:tcW w:w="1907" w:type="dxa"/>
          <w:gridSpan w:val="2"/>
          <w:vAlign w:val="bottom"/>
        </w:tcPr>
        <w:p w:rsidR="00CD72A8" w:rsidRPr="001A2364" w:rsidRDefault="00CD72A8" w:rsidP="00C517C6">
          <w:pPr>
            <w:pStyle w:val="Footer"/>
            <w:tabs>
              <w:tab w:val="left" w:pos="2160"/>
              <w:tab w:val="left" w:pos="6240"/>
              <w:tab w:val="left" w:pos="7800"/>
            </w:tabs>
            <w:rPr>
              <w:color w:val="404040" w:themeColor="text1" w:themeTint="BF"/>
              <w:sz w:val="18"/>
              <w:szCs w:val="18"/>
            </w:rPr>
          </w:pPr>
          <w:r w:rsidRPr="001A2364">
            <w:rPr>
              <w:color w:val="404040" w:themeColor="text1" w:themeTint="BF"/>
              <w:sz w:val="18"/>
              <w:szCs w:val="18"/>
            </w:rPr>
            <w:t>Finance Manager</w:t>
          </w:r>
        </w:p>
      </w:tc>
      <w:tc>
        <w:tcPr>
          <w:tcW w:w="3480" w:type="dxa"/>
          <w:gridSpan w:val="3"/>
          <w:vAlign w:val="bottom"/>
        </w:tcPr>
        <w:p w:rsidR="00CD72A8" w:rsidRPr="001A2364" w:rsidRDefault="00CD72A8" w:rsidP="00C517C6">
          <w:pPr>
            <w:pStyle w:val="Footer"/>
            <w:tabs>
              <w:tab w:val="left" w:pos="2160"/>
              <w:tab w:val="left" w:pos="6240"/>
              <w:tab w:val="left" w:pos="7800"/>
            </w:tabs>
            <w:ind w:left="77"/>
            <w:rPr>
              <w:color w:val="404040" w:themeColor="text1" w:themeTint="BF"/>
              <w:sz w:val="18"/>
              <w:szCs w:val="18"/>
            </w:rPr>
          </w:pPr>
          <w:r w:rsidRPr="001A2364">
            <w:rPr>
              <w:color w:val="404040" w:themeColor="text1" w:themeTint="BF"/>
              <w:sz w:val="18"/>
              <w:szCs w:val="18"/>
            </w:rPr>
            <w:t>Laurie Mills</w:t>
          </w:r>
        </w:p>
      </w:tc>
      <w:tc>
        <w:tcPr>
          <w:tcW w:w="1200" w:type="dxa"/>
          <w:gridSpan w:val="2"/>
          <w:vAlign w:val="bottom"/>
        </w:tcPr>
        <w:p w:rsidR="00CD72A8" w:rsidRPr="001A2364" w:rsidRDefault="00CD72A8" w:rsidP="00C517C6">
          <w:pPr>
            <w:pStyle w:val="Footer"/>
            <w:tabs>
              <w:tab w:val="left" w:pos="2160"/>
              <w:tab w:val="left" w:pos="6240"/>
              <w:tab w:val="left" w:pos="7800"/>
            </w:tabs>
            <w:rPr>
              <w:color w:val="404040" w:themeColor="text1" w:themeTint="BF"/>
              <w:sz w:val="18"/>
              <w:szCs w:val="18"/>
            </w:rPr>
          </w:pPr>
          <w:r w:rsidRPr="001A2364">
            <w:rPr>
              <w:color w:val="404040" w:themeColor="text1" w:themeTint="BF"/>
              <w:sz w:val="18"/>
              <w:szCs w:val="18"/>
            </w:rPr>
            <w:t xml:space="preserve">E-mail   </w:t>
          </w:r>
        </w:p>
      </w:tc>
      <w:tc>
        <w:tcPr>
          <w:tcW w:w="3720" w:type="dxa"/>
          <w:gridSpan w:val="2"/>
          <w:vAlign w:val="bottom"/>
        </w:tcPr>
        <w:p w:rsidR="00CD72A8" w:rsidRPr="001A2364" w:rsidRDefault="00CD72A8" w:rsidP="00C517C6">
          <w:pPr>
            <w:pStyle w:val="Footer"/>
            <w:tabs>
              <w:tab w:val="left" w:pos="2160"/>
              <w:tab w:val="left" w:pos="6240"/>
              <w:tab w:val="left" w:pos="7800"/>
            </w:tabs>
            <w:rPr>
              <w:color w:val="404040" w:themeColor="text1" w:themeTint="BF"/>
              <w:sz w:val="18"/>
              <w:szCs w:val="18"/>
            </w:rPr>
          </w:pPr>
          <w:r w:rsidRPr="001A2364">
            <w:rPr>
              <w:color w:val="404040" w:themeColor="text1" w:themeTint="BF"/>
              <w:sz w:val="18"/>
              <w:szCs w:val="18"/>
            </w:rPr>
            <w:t>office@greatlinfordprimaryschool.co.uk</w:t>
          </w:r>
        </w:p>
      </w:tc>
    </w:tr>
    <w:tr w:rsidR="00CD72A8" w:rsidRPr="00BF394A" w:rsidTr="00D57FD7">
      <w:trPr>
        <w:trHeight w:val="157"/>
      </w:trPr>
      <w:tc>
        <w:tcPr>
          <w:tcW w:w="533" w:type="dxa"/>
          <w:vAlign w:val="bottom"/>
        </w:tcPr>
        <w:p w:rsidR="00CD72A8" w:rsidRPr="001A2364" w:rsidRDefault="00CD72A8" w:rsidP="00C517C6">
          <w:pPr>
            <w:pStyle w:val="Footer"/>
            <w:tabs>
              <w:tab w:val="left" w:pos="2160"/>
              <w:tab w:val="left" w:pos="6240"/>
              <w:tab w:val="left" w:pos="7800"/>
            </w:tabs>
            <w:rPr>
              <w:color w:val="404040" w:themeColor="text1" w:themeTint="BF"/>
              <w:sz w:val="18"/>
              <w:szCs w:val="18"/>
            </w:rPr>
          </w:pPr>
        </w:p>
      </w:tc>
      <w:tc>
        <w:tcPr>
          <w:tcW w:w="1907" w:type="dxa"/>
          <w:gridSpan w:val="2"/>
          <w:vAlign w:val="bottom"/>
        </w:tcPr>
        <w:p w:rsidR="00CD72A8" w:rsidRPr="001A2364" w:rsidRDefault="00CD72A8" w:rsidP="00C517C6">
          <w:pPr>
            <w:pStyle w:val="Footer"/>
            <w:tabs>
              <w:tab w:val="left" w:pos="2160"/>
              <w:tab w:val="left" w:pos="6240"/>
              <w:tab w:val="left" w:pos="7800"/>
            </w:tabs>
            <w:rPr>
              <w:color w:val="404040" w:themeColor="text1" w:themeTint="BF"/>
              <w:sz w:val="18"/>
              <w:szCs w:val="18"/>
            </w:rPr>
          </w:pPr>
          <w:r w:rsidRPr="001A2364">
            <w:rPr>
              <w:color w:val="404040" w:themeColor="text1" w:themeTint="BF"/>
              <w:sz w:val="18"/>
              <w:szCs w:val="18"/>
            </w:rPr>
            <w:t>Admin  Manager</w:t>
          </w:r>
        </w:p>
      </w:tc>
      <w:tc>
        <w:tcPr>
          <w:tcW w:w="3480" w:type="dxa"/>
          <w:gridSpan w:val="3"/>
          <w:vAlign w:val="bottom"/>
        </w:tcPr>
        <w:p w:rsidR="00CD72A8" w:rsidRPr="001A2364" w:rsidRDefault="00CD72A8" w:rsidP="00C517C6">
          <w:pPr>
            <w:pStyle w:val="Footer"/>
            <w:tabs>
              <w:tab w:val="left" w:pos="2160"/>
              <w:tab w:val="left" w:pos="6240"/>
              <w:tab w:val="left" w:pos="7800"/>
            </w:tabs>
            <w:ind w:left="77"/>
            <w:rPr>
              <w:color w:val="404040" w:themeColor="text1" w:themeTint="BF"/>
              <w:sz w:val="18"/>
              <w:szCs w:val="18"/>
            </w:rPr>
          </w:pPr>
          <w:r w:rsidRPr="001A2364">
            <w:rPr>
              <w:color w:val="404040" w:themeColor="text1" w:themeTint="BF"/>
              <w:sz w:val="18"/>
              <w:szCs w:val="18"/>
            </w:rPr>
            <w:t>Julie Newton</w:t>
          </w:r>
        </w:p>
      </w:tc>
      <w:tc>
        <w:tcPr>
          <w:tcW w:w="1200" w:type="dxa"/>
          <w:gridSpan w:val="2"/>
          <w:vAlign w:val="bottom"/>
        </w:tcPr>
        <w:p w:rsidR="00CD72A8" w:rsidRPr="001A2364" w:rsidRDefault="00CD72A8" w:rsidP="00C517C6">
          <w:pPr>
            <w:pStyle w:val="Footer"/>
            <w:tabs>
              <w:tab w:val="left" w:pos="2160"/>
              <w:tab w:val="left" w:pos="6240"/>
              <w:tab w:val="left" w:pos="7800"/>
            </w:tabs>
            <w:rPr>
              <w:color w:val="404040" w:themeColor="text1" w:themeTint="BF"/>
              <w:sz w:val="18"/>
              <w:szCs w:val="18"/>
            </w:rPr>
          </w:pPr>
          <w:r w:rsidRPr="001A2364">
            <w:rPr>
              <w:color w:val="404040" w:themeColor="text1" w:themeTint="BF"/>
              <w:sz w:val="18"/>
              <w:szCs w:val="18"/>
            </w:rPr>
            <w:t>Website</w:t>
          </w:r>
        </w:p>
      </w:tc>
      <w:tc>
        <w:tcPr>
          <w:tcW w:w="3728" w:type="dxa"/>
          <w:gridSpan w:val="3"/>
          <w:vAlign w:val="bottom"/>
        </w:tcPr>
        <w:p w:rsidR="00CD72A8" w:rsidRPr="001A2364" w:rsidRDefault="00CD72A8" w:rsidP="00C517C6">
          <w:pPr>
            <w:pStyle w:val="Footer"/>
            <w:tabs>
              <w:tab w:val="left" w:pos="2160"/>
              <w:tab w:val="left" w:pos="6240"/>
              <w:tab w:val="left" w:pos="7800"/>
            </w:tabs>
            <w:rPr>
              <w:color w:val="404040" w:themeColor="text1" w:themeTint="BF"/>
              <w:sz w:val="18"/>
              <w:szCs w:val="18"/>
            </w:rPr>
          </w:pPr>
          <w:r w:rsidRPr="001A2364">
            <w:rPr>
              <w:color w:val="404040" w:themeColor="text1" w:themeTint="BF"/>
              <w:sz w:val="18"/>
              <w:szCs w:val="18"/>
            </w:rPr>
            <w:t>www.greatlinfordprimaryschool.co.uk</w:t>
          </w:r>
        </w:p>
      </w:tc>
    </w:tr>
    <w:tr w:rsidR="009C020D" w:rsidRPr="00BF394A" w:rsidTr="00D57FD7">
      <w:trPr>
        <w:trHeight w:val="1361"/>
      </w:trPr>
      <w:tc>
        <w:tcPr>
          <w:tcW w:w="2093" w:type="dxa"/>
          <w:gridSpan w:val="2"/>
          <w:vAlign w:val="center"/>
        </w:tcPr>
        <w:p w:rsidR="00CD72A8" w:rsidRDefault="00CD72A8" w:rsidP="00C517C6">
          <w:pPr>
            <w:pStyle w:val="Header"/>
            <w:jc w:val="center"/>
            <w:rPr>
              <w:noProof/>
              <w:sz w:val="20"/>
              <w:szCs w:val="20"/>
              <w:lang w:eastAsia="en-GB"/>
            </w:rPr>
          </w:pPr>
          <w:r>
            <w:rPr>
              <w:noProof/>
              <w:sz w:val="20"/>
              <w:szCs w:val="20"/>
              <w:lang w:eastAsia="en-GB"/>
            </w:rPr>
            <w:drawing>
              <wp:inline distT="0" distB="0" distL="0" distR="0">
                <wp:extent cx="1008604" cy="504000"/>
                <wp:effectExtent l="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08604" cy="504000"/>
                        </a:xfrm>
                        <a:prstGeom prst="rect">
                          <a:avLst/>
                        </a:prstGeom>
                        <a:noFill/>
                      </pic:spPr>
                    </pic:pic>
                  </a:graphicData>
                </a:graphic>
              </wp:inline>
            </w:drawing>
          </w:r>
        </w:p>
      </w:tc>
      <w:tc>
        <w:tcPr>
          <w:tcW w:w="2126" w:type="dxa"/>
          <w:gridSpan w:val="2"/>
          <w:vAlign w:val="center"/>
        </w:tcPr>
        <w:p w:rsidR="00CD72A8" w:rsidRPr="00BF394A" w:rsidRDefault="00CD72A8" w:rsidP="00C517C6">
          <w:pPr>
            <w:pStyle w:val="Header"/>
            <w:rPr>
              <w:sz w:val="20"/>
              <w:szCs w:val="20"/>
            </w:rPr>
          </w:pPr>
          <w:r w:rsidRPr="00BF394A">
            <w:rPr>
              <w:noProof/>
              <w:sz w:val="20"/>
              <w:szCs w:val="20"/>
              <w:lang w:eastAsia="en-GB"/>
            </w:rPr>
            <w:drawing>
              <wp:inline distT="0" distB="0" distL="0" distR="0">
                <wp:extent cx="1066592" cy="468000"/>
                <wp:effectExtent l="0" t="0" r="635" b="8255"/>
                <wp:docPr id="22" name="Picture 22"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icture1"/>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66592" cy="468000"/>
                        </a:xfrm>
                        <a:prstGeom prst="rect">
                          <a:avLst/>
                        </a:prstGeom>
                        <a:noFill/>
                        <a:ln w="9525">
                          <a:noFill/>
                          <a:miter lim="800000"/>
                          <a:headEnd/>
                          <a:tailEnd/>
                        </a:ln>
                      </pic:spPr>
                    </pic:pic>
                  </a:graphicData>
                </a:graphic>
              </wp:inline>
            </w:drawing>
          </w:r>
        </w:p>
      </w:tc>
      <w:tc>
        <w:tcPr>
          <w:tcW w:w="1418" w:type="dxa"/>
          <w:vAlign w:val="center"/>
        </w:tcPr>
        <w:p w:rsidR="00CD72A8" w:rsidRPr="00BF394A" w:rsidRDefault="00CD72A8" w:rsidP="00C517C6">
          <w:pPr>
            <w:pStyle w:val="Header"/>
            <w:jc w:val="center"/>
            <w:rPr>
              <w:sz w:val="20"/>
              <w:szCs w:val="20"/>
            </w:rPr>
          </w:pPr>
          <w:r w:rsidRPr="00BF394A">
            <w:rPr>
              <w:noProof/>
              <w:sz w:val="20"/>
              <w:szCs w:val="20"/>
              <w:lang w:eastAsia="en-GB"/>
            </w:rPr>
            <w:drawing>
              <wp:inline distT="0" distB="0" distL="0" distR="0">
                <wp:extent cx="527183" cy="540000"/>
                <wp:effectExtent l="0" t="0" r="6350" b="0"/>
                <wp:docPr id="20" name="Picture 20" descr="3603 schools award logo349 (light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3603 schools award logo349 (light green)"/>
                        <pic:cNvPicPr>
                          <a:picLocks noChangeAspect="1" noChangeArrowheads="1"/>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7183" cy="540000"/>
                        </a:xfrm>
                        <a:prstGeom prst="rect">
                          <a:avLst/>
                        </a:prstGeom>
                        <a:noFill/>
                        <a:ln w="9525">
                          <a:noFill/>
                          <a:miter lim="800000"/>
                          <a:headEnd/>
                          <a:tailEnd/>
                        </a:ln>
                      </pic:spPr>
                    </pic:pic>
                  </a:graphicData>
                </a:graphic>
              </wp:inline>
            </w:drawing>
          </w:r>
        </w:p>
      </w:tc>
      <w:tc>
        <w:tcPr>
          <w:tcW w:w="1417" w:type="dxa"/>
          <w:gridSpan w:val="2"/>
          <w:vAlign w:val="center"/>
        </w:tcPr>
        <w:p w:rsidR="00CD72A8" w:rsidRPr="00BF394A" w:rsidRDefault="004D79C3" w:rsidP="00C517C6">
          <w:pPr>
            <w:pStyle w:val="Header"/>
            <w:jc w:val="center"/>
            <w:rPr>
              <w:sz w:val="20"/>
              <w:szCs w:val="20"/>
            </w:rPr>
          </w:pPr>
          <w:r>
            <w:rPr>
              <w:noProof/>
              <w:sz w:val="20"/>
              <w:szCs w:val="20"/>
              <w:lang w:eastAsia="en-GB"/>
            </w:rPr>
            <w:drawing>
              <wp:inline distT="0" distB="0" distL="0" distR="0">
                <wp:extent cx="576000" cy="576000"/>
                <wp:effectExtent l="19050" t="0" r="0" b="0"/>
                <wp:docPr id="3" name="Picture 2" descr="SILVER SPORT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VER SPORTS LOGO.jpg"/>
                        <pic:cNvPicPr/>
                      </pic:nvPicPr>
                      <pic:blipFill>
                        <a:blip r:embed="rId4"/>
                        <a:stretch>
                          <a:fillRect/>
                        </a:stretch>
                      </pic:blipFill>
                      <pic:spPr>
                        <a:xfrm>
                          <a:off x="0" y="0"/>
                          <a:ext cx="576000" cy="576000"/>
                        </a:xfrm>
                        <a:prstGeom prst="rect">
                          <a:avLst/>
                        </a:prstGeom>
                      </pic:spPr>
                    </pic:pic>
                  </a:graphicData>
                </a:graphic>
              </wp:inline>
            </w:drawing>
          </w:r>
        </w:p>
      </w:tc>
      <w:tc>
        <w:tcPr>
          <w:tcW w:w="2126" w:type="dxa"/>
          <w:gridSpan w:val="2"/>
          <w:vAlign w:val="center"/>
        </w:tcPr>
        <w:p w:rsidR="00CD72A8" w:rsidRPr="00BF394A" w:rsidRDefault="00CD72A8" w:rsidP="00C517C6">
          <w:pPr>
            <w:pStyle w:val="Header"/>
            <w:jc w:val="center"/>
            <w:rPr>
              <w:sz w:val="20"/>
              <w:szCs w:val="20"/>
            </w:rPr>
          </w:pPr>
          <w:r w:rsidRPr="00BF394A">
            <w:rPr>
              <w:noProof/>
              <w:sz w:val="20"/>
              <w:szCs w:val="20"/>
              <w:lang w:eastAsia="en-GB"/>
            </w:rPr>
            <w:drawing>
              <wp:inline distT="0" distB="0" distL="0" distR="0">
                <wp:extent cx="1126389" cy="504000"/>
                <wp:effectExtent l="0" t="0" r="0" b="0"/>
                <wp:docPr id="21" name="Picture 21" descr="5D4C9361-89C7-4CE0-BEB3-B3C460F3E5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D4C9361-89C7-4CE0-BEB3-B3C460F3E5261"/>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26389" cy="504000"/>
                        </a:xfrm>
                        <a:prstGeom prst="rect">
                          <a:avLst/>
                        </a:prstGeom>
                        <a:noFill/>
                        <a:ln w="9525">
                          <a:noFill/>
                          <a:miter lim="800000"/>
                          <a:headEnd/>
                          <a:tailEnd/>
                        </a:ln>
                      </pic:spPr>
                    </pic:pic>
                  </a:graphicData>
                </a:graphic>
              </wp:inline>
            </w:drawing>
          </w:r>
        </w:p>
      </w:tc>
      <w:tc>
        <w:tcPr>
          <w:tcW w:w="1668" w:type="dxa"/>
          <w:gridSpan w:val="2"/>
          <w:vAlign w:val="center"/>
        </w:tcPr>
        <w:p w:rsidR="00CD72A8" w:rsidRPr="00BF394A" w:rsidRDefault="00CD72A8" w:rsidP="00C517C6">
          <w:pPr>
            <w:pStyle w:val="Header"/>
            <w:jc w:val="right"/>
            <w:rPr>
              <w:sz w:val="20"/>
              <w:szCs w:val="20"/>
            </w:rPr>
          </w:pPr>
          <w:r>
            <w:rPr>
              <w:noProof/>
              <w:sz w:val="20"/>
              <w:szCs w:val="20"/>
              <w:lang w:eastAsia="en-GB"/>
            </w:rPr>
            <w:drawing>
              <wp:inline distT="0" distB="0" distL="0" distR="0">
                <wp:extent cx="720000" cy="720000"/>
                <wp:effectExtent l="0" t="0" r="4445" b="4445"/>
                <wp:docPr id="13" name="Picture 13" descr="C:\Users\jnewton\AppData\Local\Temp\Temp2_Ofsted good provider logo and guidelines_0 (1).zip\Good\PNG\Ofsted_Good_GP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newton\AppData\Local\Temp\Temp2_Ofsted good provider logo and guidelines_0 (1).zip\Good\PNG\Ofsted_Good_GP_Colour.pn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0000" cy="720000"/>
                        </a:xfrm>
                        <a:prstGeom prst="rect">
                          <a:avLst/>
                        </a:prstGeom>
                        <a:noFill/>
                        <a:ln>
                          <a:noFill/>
                        </a:ln>
                      </pic:spPr>
                    </pic:pic>
                  </a:graphicData>
                </a:graphic>
              </wp:inline>
            </w:drawing>
          </w:r>
        </w:p>
      </w:tc>
    </w:tr>
  </w:tbl>
  <w:p w:rsidR="00243602" w:rsidRDefault="002436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7AEF" w:rsidRDefault="000F7AEF">
      <w:r>
        <w:separator/>
      </w:r>
    </w:p>
  </w:footnote>
  <w:footnote w:type="continuationSeparator" w:id="0">
    <w:p w:rsidR="000F7AEF" w:rsidRDefault="000F7A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9C3" w:rsidRDefault="004D79C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35"/>
      <w:gridCol w:w="3544"/>
      <w:gridCol w:w="3827"/>
    </w:tblGrid>
    <w:tr w:rsidR="00BF394A" w:rsidTr="00607246">
      <w:trPr>
        <w:trHeight w:val="1843"/>
      </w:trPr>
      <w:tc>
        <w:tcPr>
          <w:tcW w:w="2835" w:type="dxa"/>
          <w:vAlign w:val="bottom"/>
        </w:tcPr>
        <w:p w:rsidR="00BF394A" w:rsidRDefault="00BF394A" w:rsidP="00CF388E">
          <w:pPr>
            <w:pStyle w:val="Header"/>
          </w:pPr>
        </w:p>
      </w:tc>
      <w:tc>
        <w:tcPr>
          <w:tcW w:w="3544" w:type="dxa"/>
          <w:vAlign w:val="bottom"/>
        </w:tcPr>
        <w:p w:rsidR="00BF394A" w:rsidRDefault="00BF394A" w:rsidP="00CF388E">
          <w:pPr>
            <w:pStyle w:val="Header"/>
          </w:pPr>
        </w:p>
      </w:tc>
      <w:tc>
        <w:tcPr>
          <w:tcW w:w="3827" w:type="dxa"/>
          <w:vAlign w:val="bottom"/>
        </w:tcPr>
        <w:p w:rsidR="00BF394A" w:rsidRDefault="00BF394A" w:rsidP="00CF388E">
          <w:pPr>
            <w:pStyle w:val="Header"/>
            <w:ind w:right="-165"/>
          </w:pPr>
        </w:p>
      </w:tc>
    </w:tr>
  </w:tbl>
  <w:p w:rsidR="00C547FC" w:rsidRPr="004E608E" w:rsidRDefault="004E608E" w:rsidP="00607246">
    <w:pPr>
      <w:pStyle w:val="Header"/>
      <w:tabs>
        <w:tab w:val="left" w:pos="1770"/>
      </w:tabs>
      <w:rPr>
        <w:b/>
        <w:sz w:val="36"/>
      </w:rPr>
    </w:pPr>
    <w:r>
      <w:rPr>
        <w:b/>
      </w:rPr>
      <w:tab/>
    </w:r>
    <w:r w:rsidR="00607246">
      <w:rPr>
        <w:b/>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35"/>
      <w:gridCol w:w="3544"/>
      <w:gridCol w:w="1276"/>
      <w:gridCol w:w="2551"/>
    </w:tblGrid>
    <w:tr w:rsidR="00243602" w:rsidTr="00E94A37">
      <w:trPr>
        <w:trHeight w:val="1404"/>
      </w:trPr>
      <w:tc>
        <w:tcPr>
          <w:tcW w:w="2835" w:type="dxa"/>
          <w:vAlign w:val="bottom"/>
        </w:tcPr>
        <w:p w:rsidR="00243602" w:rsidRDefault="00243602" w:rsidP="00E94A37">
          <w:pPr>
            <w:pStyle w:val="Header"/>
          </w:pPr>
        </w:p>
      </w:tc>
      <w:tc>
        <w:tcPr>
          <w:tcW w:w="3544" w:type="dxa"/>
          <w:vAlign w:val="bottom"/>
        </w:tcPr>
        <w:p w:rsidR="00243602" w:rsidRDefault="00243602" w:rsidP="00E94A37">
          <w:pPr>
            <w:pStyle w:val="Header"/>
          </w:pPr>
        </w:p>
      </w:tc>
      <w:tc>
        <w:tcPr>
          <w:tcW w:w="3827" w:type="dxa"/>
          <w:gridSpan w:val="2"/>
          <w:vAlign w:val="bottom"/>
        </w:tcPr>
        <w:p w:rsidR="00243602" w:rsidRDefault="00243602" w:rsidP="00E94A37">
          <w:pPr>
            <w:pStyle w:val="Header"/>
            <w:ind w:right="-165"/>
          </w:pPr>
          <w:r>
            <w:rPr>
              <w:noProof/>
              <w:lang w:eastAsia="en-GB"/>
            </w:rPr>
            <w:drawing>
              <wp:anchor distT="0" distB="0" distL="114300" distR="114300" simplePos="0" relativeHeight="251660288" behindDoc="0" locked="0" layoutInCell="1" allowOverlap="1">
                <wp:simplePos x="0" y="0"/>
                <wp:positionH relativeFrom="column">
                  <wp:posOffset>-38735</wp:posOffset>
                </wp:positionH>
                <wp:positionV relativeFrom="paragraph">
                  <wp:posOffset>50165</wp:posOffset>
                </wp:positionV>
                <wp:extent cx="2336165" cy="791845"/>
                <wp:effectExtent l="0" t="0" r="6985" b="825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36165" cy="791845"/>
                        </a:xfrm>
                        <a:prstGeom prst="rect">
                          <a:avLst/>
                        </a:prstGeom>
                        <a:noFill/>
                      </pic:spPr>
                    </pic:pic>
                  </a:graphicData>
                </a:graphic>
              </wp:anchor>
            </w:drawing>
          </w:r>
        </w:p>
      </w:tc>
    </w:tr>
    <w:tr w:rsidR="00243602" w:rsidTr="00E94A37">
      <w:trPr>
        <w:trHeight w:val="864"/>
      </w:trPr>
      <w:tc>
        <w:tcPr>
          <w:tcW w:w="2835" w:type="dxa"/>
        </w:tcPr>
        <w:p w:rsidR="00243602" w:rsidRDefault="00243602" w:rsidP="00E94A37">
          <w:pPr>
            <w:pStyle w:val="Header"/>
          </w:pPr>
        </w:p>
      </w:tc>
      <w:tc>
        <w:tcPr>
          <w:tcW w:w="3544" w:type="dxa"/>
        </w:tcPr>
        <w:p w:rsidR="00243602" w:rsidRDefault="00243602" w:rsidP="00E94A37">
          <w:pPr>
            <w:pStyle w:val="Header"/>
          </w:pPr>
        </w:p>
      </w:tc>
      <w:tc>
        <w:tcPr>
          <w:tcW w:w="1276" w:type="dxa"/>
        </w:tcPr>
        <w:p w:rsidR="00243602" w:rsidRDefault="00243602" w:rsidP="00E94A37">
          <w:pPr>
            <w:pStyle w:val="Header"/>
          </w:pPr>
        </w:p>
      </w:tc>
      <w:tc>
        <w:tcPr>
          <w:tcW w:w="2551" w:type="dxa"/>
          <w:vAlign w:val="center"/>
        </w:tcPr>
        <w:p w:rsidR="00243602" w:rsidRPr="00286596" w:rsidRDefault="00243602" w:rsidP="00E94A37">
          <w:pPr>
            <w:pStyle w:val="Header"/>
            <w:ind w:left="-108" w:right="529"/>
            <w:rPr>
              <w:rFonts w:cs="Arial"/>
              <w:color w:val="404040" w:themeColor="text1" w:themeTint="BF"/>
            </w:rPr>
          </w:pPr>
          <w:r w:rsidRPr="00286596">
            <w:rPr>
              <w:rFonts w:cs="Arial"/>
              <w:color w:val="404040" w:themeColor="text1" w:themeTint="BF"/>
            </w:rPr>
            <w:t>St Leger Drive</w:t>
          </w:r>
        </w:p>
        <w:p w:rsidR="00243602" w:rsidRPr="00286596" w:rsidRDefault="00243602" w:rsidP="00E94A37">
          <w:pPr>
            <w:pStyle w:val="Header"/>
            <w:ind w:left="-108" w:right="529"/>
            <w:rPr>
              <w:rFonts w:cs="Arial"/>
              <w:color w:val="404040" w:themeColor="text1" w:themeTint="BF"/>
            </w:rPr>
          </w:pPr>
          <w:r w:rsidRPr="00286596">
            <w:rPr>
              <w:rFonts w:cs="Arial"/>
              <w:color w:val="404040" w:themeColor="text1" w:themeTint="BF"/>
            </w:rPr>
            <w:t>Milton Keynes</w:t>
          </w:r>
        </w:p>
        <w:p w:rsidR="00243602" w:rsidRDefault="00243602" w:rsidP="00E94A37">
          <w:pPr>
            <w:pStyle w:val="Header"/>
            <w:ind w:left="-108" w:right="529"/>
          </w:pPr>
          <w:r w:rsidRPr="00286596">
            <w:rPr>
              <w:rFonts w:cs="Arial"/>
              <w:color w:val="404040" w:themeColor="text1" w:themeTint="BF"/>
            </w:rPr>
            <w:t>MK14 5BL</w:t>
          </w:r>
        </w:p>
      </w:tc>
    </w:tr>
  </w:tbl>
  <w:p w:rsidR="00243602" w:rsidRDefault="002436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159A7"/>
    <w:multiLevelType w:val="hybridMultilevel"/>
    <w:tmpl w:val="3B6866A6"/>
    <w:lvl w:ilvl="0" w:tplc="3C029D58">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C182A19"/>
    <w:multiLevelType w:val="hybridMultilevel"/>
    <w:tmpl w:val="F0DCD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542470"/>
    <w:multiLevelType w:val="hybridMultilevel"/>
    <w:tmpl w:val="C75EE3DA"/>
    <w:lvl w:ilvl="0" w:tplc="3C029D5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BF6E49"/>
    <w:multiLevelType w:val="hybridMultilevel"/>
    <w:tmpl w:val="7EE44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4F4203"/>
    <w:multiLevelType w:val="hybridMultilevel"/>
    <w:tmpl w:val="7724F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CC21CD"/>
    <w:multiLevelType w:val="multilevel"/>
    <w:tmpl w:val="D86A0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0D7F5D"/>
    <w:multiLevelType w:val="hybridMultilevel"/>
    <w:tmpl w:val="D2D61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5527A3E"/>
    <w:multiLevelType w:val="hybridMultilevel"/>
    <w:tmpl w:val="FD007ABE"/>
    <w:lvl w:ilvl="0" w:tplc="3C029D5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1275675"/>
    <w:multiLevelType w:val="hybridMultilevel"/>
    <w:tmpl w:val="AB8A619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9">
    <w:nsid w:val="652F060D"/>
    <w:multiLevelType w:val="hybridMultilevel"/>
    <w:tmpl w:val="6896D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0B450E"/>
    <w:multiLevelType w:val="hybridMultilevel"/>
    <w:tmpl w:val="D5AE3614"/>
    <w:lvl w:ilvl="0" w:tplc="3C029D5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4"/>
  </w:num>
  <w:num w:numId="4">
    <w:abstractNumId w:val="2"/>
  </w:num>
  <w:num w:numId="5">
    <w:abstractNumId w:val="0"/>
  </w:num>
  <w:num w:numId="6">
    <w:abstractNumId w:val="10"/>
  </w:num>
  <w:num w:numId="7">
    <w:abstractNumId w:val="7"/>
  </w:num>
  <w:num w:numId="8">
    <w:abstractNumId w:val="1"/>
  </w:num>
  <w:num w:numId="9">
    <w:abstractNumId w:val="6"/>
  </w:num>
  <w:num w:numId="10">
    <w:abstractNumId w:val="8"/>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characterSpacingControl w:val="doNotCompress"/>
  <w:hdrShapeDefaults>
    <o:shapedefaults v:ext="edit" spidmax="115714"/>
  </w:hdrShapeDefaults>
  <w:footnotePr>
    <w:footnote w:id="-1"/>
    <w:footnote w:id="0"/>
  </w:footnotePr>
  <w:endnotePr>
    <w:endnote w:id="-1"/>
    <w:endnote w:id="0"/>
  </w:endnotePr>
  <w:compat/>
  <w:rsids>
    <w:rsidRoot w:val="00AF2AB4"/>
    <w:rsid w:val="00000010"/>
    <w:rsid w:val="00015874"/>
    <w:rsid w:val="00024DA7"/>
    <w:rsid w:val="00042620"/>
    <w:rsid w:val="00052A3F"/>
    <w:rsid w:val="00060696"/>
    <w:rsid w:val="000717D2"/>
    <w:rsid w:val="0007182E"/>
    <w:rsid w:val="00071950"/>
    <w:rsid w:val="000A5A1B"/>
    <w:rsid w:val="000B5BF5"/>
    <w:rsid w:val="000C571F"/>
    <w:rsid w:val="000F7AEF"/>
    <w:rsid w:val="00122F2A"/>
    <w:rsid w:val="001248E0"/>
    <w:rsid w:val="001372BE"/>
    <w:rsid w:val="001600CE"/>
    <w:rsid w:val="00194142"/>
    <w:rsid w:val="00195598"/>
    <w:rsid w:val="001A2364"/>
    <w:rsid w:val="001D20E6"/>
    <w:rsid w:val="001E2F59"/>
    <w:rsid w:val="001E2FF9"/>
    <w:rsid w:val="001E7217"/>
    <w:rsid w:val="001F708B"/>
    <w:rsid w:val="002026D7"/>
    <w:rsid w:val="00220019"/>
    <w:rsid w:val="002334A2"/>
    <w:rsid w:val="00242625"/>
    <w:rsid w:val="00243602"/>
    <w:rsid w:val="00250635"/>
    <w:rsid w:val="00267030"/>
    <w:rsid w:val="002834BD"/>
    <w:rsid w:val="00284FE1"/>
    <w:rsid w:val="00286596"/>
    <w:rsid w:val="002A7B30"/>
    <w:rsid w:val="002B480F"/>
    <w:rsid w:val="002C3439"/>
    <w:rsid w:val="002D0A51"/>
    <w:rsid w:val="002D2E23"/>
    <w:rsid w:val="002E4C81"/>
    <w:rsid w:val="00301472"/>
    <w:rsid w:val="00307A93"/>
    <w:rsid w:val="003301A2"/>
    <w:rsid w:val="0033267F"/>
    <w:rsid w:val="00335285"/>
    <w:rsid w:val="00340723"/>
    <w:rsid w:val="00343071"/>
    <w:rsid w:val="003438AD"/>
    <w:rsid w:val="00373958"/>
    <w:rsid w:val="003742E7"/>
    <w:rsid w:val="0037504E"/>
    <w:rsid w:val="00375DDC"/>
    <w:rsid w:val="00381359"/>
    <w:rsid w:val="0038238F"/>
    <w:rsid w:val="00385682"/>
    <w:rsid w:val="003878FE"/>
    <w:rsid w:val="003A167C"/>
    <w:rsid w:val="003A6400"/>
    <w:rsid w:val="003B1852"/>
    <w:rsid w:val="003C2EDB"/>
    <w:rsid w:val="003D2F85"/>
    <w:rsid w:val="003D62BC"/>
    <w:rsid w:val="003D6EFD"/>
    <w:rsid w:val="003D742C"/>
    <w:rsid w:val="003E58BD"/>
    <w:rsid w:val="003E76EF"/>
    <w:rsid w:val="003F506A"/>
    <w:rsid w:val="004017DA"/>
    <w:rsid w:val="00403DC7"/>
    <w:rsid w:val="00412999"/>
    <w:rsid w:val="00413125"/>
    <w:rsid w:val="00414B9B"/>
    <w:rsid w:val="004223AA"/>
    <w:rsid w:val="0042324D"/>
    <w:rsid w:val="00425631"/>
    <w:rsid w:val="00433325"/>
    <w:rsid w:val="00444572"/>
    <w:rsid w:val="00453028"/>
    <w:rsid w:val="004561A0"/>
    <w:rsid w:val="00457E72"/>
    <w:rsid w:val="00472868"/>
    <w:rsid w:val="004731A9"/>
    <w:rsid w:val="004821CE"/>
    <w:rsid w:val="004832BA"/>
    <w:rsid w:val="00493F9B"/>
    <w:rsid w:val="004A203B"/>
    <w:rsid w:val="004D0F38"/>
    <w:rsid w:val="004D63C9"/>
    <w:rsid w:val="004D79C3"/>
    <w:rsid w:val="004E608E"/>
    <w:rsid w:val="004E6BA6"/>
    <w:rsid w:val="004F41DC"/>
    <w:rsid w:val="0051390E"/>
    <w:rsid w:val="0051471D"/>
    <w:rsid w:val="00516D8C"/>
    <w:rsid w:val="005328F7"/>
    <w:rsid w:val="00543AA8"/>
    <w:rsid w:val="00543DAE"/>
    <w:rsid w:val="0054460D"/>
    <w:rsid w:val="005457FA"/>
    <w:rsid w:val="00553AC6"/>
    <w:rsid w:val="00572BC9"/>
    <w:rsid w:val="0058422F"/>
    <w:rsid w:val="005856E8"/>
    <w:rsid w:val="00591CE8"/>
    <w:rsid w:val="005A7EBD"/>
    <w:rsid w:val="005C1F0A"/>
    <w:rsid w:val="005C364E"/>
    <w:rsid w:val="005D0EEA"/>
    <w:rsid w:val="005E1664"/>
    <w:rsid w:val="005E7C89"/>
    <w:rsid w:val="005F1724"/>
    <w:rsid w:val="006028F7"/>
    <w:rsid w:val="00607246"/>
    <w:rsid w:val="00613F33"/>
    <w:rsid w:val="00622125"/>
    <w:rsid w:val="00640494"/>
    <w:rsid w:val="00684BD6"/>
    <w:rsid w:val="006874C5"/>
    <w:rsid w:val="00691E64"/>
    <w:rsid w:val="00693E11"/>
    <w:rsid w:val="006A55CA"/>
    <w:rsid w:val="006C50E7"/>
    <w:rsid w:val="006C6580"/>
    <w:rsid w:val="006E607E"/>
    <w:rsid w:val="006E67C4"/>
    <w:rsid w:val="006F1D10"/>
    <w:rsid w:val="006F7A74"/>
    <w:rsid w:val="00714877"/>
    <w:rsid w:val="0071714A"/>
    <w:rsid w:val="00723F4E"/>
    <w:rsid w:val="00731F18"/>
    <w:rsid w:val="007409FB"/>
    <w:rsid w:val="00751526"/>
    <w:rsid w:val="007709B4"/>
    <w:rsid w:val="00773CEA"/>
    <w:rsid w:val="007856D8"/>
    <w:rsid w:val="00785BAE"/>
    <w:rsid w:val="007963A3"/>
    <w:rsid w:val="007A0032"/>
    <w:rsid w:val="007B6572"/>
    <w:rsid w:val="007C28BF"/>
    <w:rsid w:val="007C4CFE"/>
    <w:rsid w:val="007C6F4C"/>
    <w:rsid w:val="007C76A5"/>
    <w:rsid w:val="007D206B"/>
    <w:rsid w:val="007D62CB"/>
    <w:rsid w:val="007E3BF8"/>
    <w:rsid w:val="007E5338"/>
    <w:rsid w:val="007E63A2"/>
    <w:rsid w:val="007F06F8"/>
    <w:rsid w:val="007F4C62"/>
    <w:rsid w:val="00815A26"/>
    <w:rsid w:val="00822F3A"/>
    <w:rsid w:val="00826325"/>
    <w:rsid w:val="00827F2C"/>
    <w:rsid w:val="00862193"/>
    <w:rsid w:val="00873462"/>
    <w:rsid w:val="00884D1D"/>
    <w:rsid w:val="008A6AF8"/>
    <w:rsid w:val="008B73E3"/>
    <w:rsid w:val="008E1E7B"/>
    <w:rsid w:val="008E36E4"/>
    <w:rsid w:val="008E3C16"/>
    <w:rsid w:val="008E3F04"/>
    <w:rsid w:val="00915FCE"/>
    <w:rsid w:val="0091676F"/>
    <w:rsid w:val="0091678E"/>
    <w:rsid w:val="009427C8"/>
    <w:rsid w:val="00952377"/>
    <w:rsid w:val="0095290C"/>
    <w:rsid w:val="0095315D"/>
    <w:rsid w:val="00966B3C"/>
    <w:rsid w:val="0097655C"/>
    <w:rsid w:val="00983569"/>
    <w:rsid w:val="00985CE3"/>
    <w:rsid w:val="00986A8D"/>
    <w:rsid w:val="009B5E90"/>
    <w:rsid w:val="009C020D"/>
    <w:rsid w:val="009D0232"/>
    <w:rsid w:val="009D2C91"/>
    <w:rsid w:val="009D4247"/>
    <w:rsid w:val="009D580E"/>
    <w:rsid w:val="009F608C"/>
    <w:rsid w:val="00A03EA2"/>
    <w:rsid w:val="00A13C69"/>
    <w:rsid w:val="00A303DB"/>
    <w:rsid w:val="00A304C1"/>
    <w:rsid w:val="00A35DA1"/>
    <w:rsid w:val="00A529D3"/>
    <w:rsid w:val="00A60740"/>
    <w:rsid w:val="00A707EE"/>
    <w:rsid w:val="00A74D8E"/>
    <w:rsid w:val="00A77678"/>
    <w:rsid w:val="00A811DF"/>
    <w:rsid w:val="00A95645"/>
    <w:rsid w:val="00AA03A3"/>
    <w:rsid w:val="00AD09D3"/>
    <w:rsid w:val="00AE0E34"/>
    <w:rsid w:val="00AE44BE"/>
    <w:rsid w:val="00AF2A3E"/>
    <w:rsid w:val="00AF2AB4"/>
    <w:rsid w:val="00AF526A"/>
    <w:rsid w:val="00B0024D"/>
    <w:rsid w:val="00B03AE0"/>
    <w:rsid w:val="00B053BC"/>
    <w:rsid w:val="00B111E2"/>
    <w:rsid w:val="00B42E46"/>
    <w:rsid w:val="00B432E2"/>
    <w:rsid w:val="00B505DB"/>
    <w:rsid w:val="00B61221"/>
    <w:rsid w:val="00B63861"/>
    <w:rsid w:val="00B66C42"/>
    <w:rsid w:val="00BA113F"/>
    <w:rsid w:val="00BA190A"/>
    <w:rsid w:val="00BB635C"/>
    <w:rsid w:val="00BB654A"/>
    <w:rsid w:val="00BD06A7"/>
    <w:rsid w:val="00BD1F8E"/>
    <w:rsid w:val="00BD2FF0"/>
    <w:rsid w:val="00BE05EF"/>
    <w:rsid w:val="00BE4AEA"/>
    <w:rsid w:val="00BF1EE6"/>
    <w:rsid w:val="00BF394A"/>
    <w:rsid w:val="00C21F9B"/>
    <w:rsid w:val="00C3427C"/>
    <w:rsid w:val="00C517C6"/>
    <w:rsid w:val="00C547FC"/>
    <w:rsid w:val="00C57F65"/>
    <w:rsid w:val="00C6363B"/>
    <w:rsid w:val="00C807AB"/>
    <w:rsid w:val="00C80941"/>
    <w:rsid w:val="00CB0599"/>
    <w:rsid w:val="00CB3E35"/>
    <w:rsid w:val="00CB6212"/>
    <w:rsid w:val="00CD0155"/>
    <w:rsid w:val="00CD72A8"/>
    <w:rsid w:val="00CF3094"/>
    <w:rsid w:val="00CF3603"/>
    <w:rsid w:val="00CF388E"/>
    <w:rsid w:val="00D078D6"/>
    <w:rsid w:val="00D27370"/>
    <w:rsid w:val="00D314CD"/>
    <w:rsid w:val="00D43AFB"/>
    <w:rsid w:val="00D47133"/>
    <w:rsid w:val="00D54B6D"/>
    <w:rsid w:val="00D575C8"/>
    <w:rsid w:val="00D57FD7"/>
    <w:rsid w:val="00D62E4F"/>
    <w:rsid w:val="00D66D3E"/>
    <w:rsid w:val="00D74662"/>
    <w:rsid w:val="00D76FA1"/>
    <w:rsid w:val="00D95CF7"/>
    <w:rsid w:val="00DA27EB"/>
    <w:rsid w:val="00DB2BAD"/>
    <w:rsid w:val="00DC5798"/>
    <w:rsid w:val="00DC7D3E"/>
    <w:rsid w:val="00DE7332"/>
    <w:rsid w:val="00DF2AE3"/>
    <w:rsid w:val="00DF393B"/>
    <w:rsid w:val="00E00E78"/>
    <w:rsid w:val="00E023B0"/>
    <w:rsid w:val="00E10F04"/>
    <w:rsid w:val="00E15953"/>
    <w:rsid w:val="00E327B9"/>
    <w:rsid w:val="00E33351"/>
    <w:rsid w:val="00E44F03"/>
    <w:rsid w:val="00E52313"/>
    <w:rsid w:val="00E54A9D"/>
    <w:rsid w:val="00E7669B"/>
    <w:rsid w:val="00E81C2E"/>
    <w:rsid w:val="00E84CB4"/>
    <w:rsid w:val="00E85216"/>
    <w:rsid w:val="00E86597"/>
    <w:rsid w:val="00E90C28"/>
    <w:rsid w:val="00E90F93"/>
    <w:rsid w:val="00E942EF"/>
    <w:rsid w:val="00EA04D1"/>
    <w:rsid w:val="00EA535A"/>
    <w:rsid w:val="00EA73D0"/>
    <w:rsid w:val="00EA774E"/>
    <w:rsid w:val="00EA7997"/>
    <w:rsid w:val="00EB0184"/>
    <w:rsid w:val="00EB5144"/>
    <w:rsid w:val="00EC64B8"/>
    <w:rsid w:val="00EF01BD"/>
    <w:rsid w:val="00EF3E39"/>
    <w:rsid w:val="00F05BC2"/>
    <w:rsid w:val="00F14CD1"/>
    <w:rsid w:val="00F23629"/>
    <w:rsid w:val="00F34AAC"/>
    <w:rsid w:val="00F5468D"/>
    <w:rsid w:val="00F57414"/>
    <w:rsid w:val="00F57BB1"/>
    <w:rsid w:val="00F60B3F"/>
    <w:rsid w:val="00F86700"/>
    <w:rsid w:val="00F87B32"/>
    <w:rsid w:val="00FA6279"/>
    <w:rsid w:val="00FB59C9"/>
    <w:rsid w:val="00FC3262"/>
    <w:rsid w:val="00FC36FA"/>
    <w:rsid w:val="00FC40E4"/>
    <w:rsid w:val="00FD305B"/>
    <w:rsid w:val="00FD3F42"/>
    <w:rsid w:val="00FE1034"/>
    <w:rsid w:val="00FE332D"/>
    <w:rsid w:val="00FE3E5B"/>
    <w:rsid w:val="00FF166D"/>
    <w:rsid w:val="00FF200A"/>
    <w:rsid w:val="00FF3B96"/>
    <w:rsid w:val="00FF43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0494"/>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142"/>
    <w:pPr>
      <w:tabs>
        <w:tab w:val="center" w:pos="4320"/>
        <w:tab w:val="right" w:pos="8640"/>
      </w:tabs>
    </w:pPr>
  </w:style>
  <w:style w:type="paragraph" w:styleId="Footer">
    <w:name w:val="footer"/>
    <w:basedOn w:val="Normal"/>
    <w:link w:val="FooterChar"/>
    <w:uiPriority w:val="99"/>
    <w:rsid w:val="00194142"/>
    <w:pPr>
      <w:tabs>
        <w:tab w:val="center" w:pos="4320"/>
        <w:tab w:val="right" w:pos="8640"/>
      </w:tabs>
    </w:pPr>
  </w:style>
  <w:style w:type="character" w:styleId="Hyperlink">
    <w:name w:val="Hyperlink"/>
    <w:uiPriority w:val="99"/>
    <w:rsid w:val="003E76EF"/>
    <w:rPr>
      <w:color w:val="0000FF"/>
      <w:u w:val="single"/>
    </w:rPr>
  </w:style>
  <w:style w:type="paragraph" w:styleId="BalloonText">
    <w:name w:val="Balloon Text"/>
    <w:basedOn w:val="Normal"/>
    <w:semiHidden/>
    <w:rsid w:val="003E76EF"/>
    <w:rPr>
      <w:rFonts w:ascii="Tahoma" w:hAnsi="Tahoma" w:cs="Tahoma"/>
      <w:sz w:val="16"/>
      <w:szCs w:val="16"/>
    </w:rPr>
  </w:style>
  <w:style w:type="paragraph" w:styleId="ListParagraph">
    <w:name w:val="List Paragraph"/>
    <w:basedOn w:val="Normal"/>
    <w:uiPriority w:val="34"/>
    <w:qFormat/>
    <w:rsid w:val="005E1664"/>
    <w:pPr>
      <w:spacing w:after="200" w:line="276" w:lineRule="auto"/>
      <w:ind w:left="720"/>
      <w:contextualSpacing/>
    </w:pPr>
    <w:rPr>
      <w:rFonts w:ascii="Calibri" w:hAnsi="Calibri"/>
      <w:sz w:val="22"/>
      <w:szCs w:val="22"/>
      <w:lang w:eastAsia="en-GB"/>
    </w:rPr>
  </w:style>
  <w:style w:type="paragraph" w:customStyle="1" w:styleId="Normal1">
    <w:name w:val="Normal1"/>
    <w:rsid w:val="005C1F0A"/>
    <w:pPr>
      <w:spacing w:line="276" w:lineRule="auto"/>
    </w:pPr>
    <w:rPr>
      <w:rFonts w:ascii="Arial" w:eastAsia="Arial" w:hAnsi="Arial" w:cs="Arial"/>
      <w:color w:val="000000"/>
      <w:sz w:val="22"/>
    </w:rPr>
  </w:style>
  <w:style w:type="table" w:styleId="TableGrid">
    <w:name w:val="Table Grid"/>
    <w:basedOn w:val="TableNormal"/>
    <w:uiPriority w:val="59"/>
    <w:rsid w:val="006028F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373958"/>
    <w:rPr>
      <w:rFonts w:ascii="Arial" w:hAnsi="Arial"/>
      <w:sz w:val="24"/>
      <w:szCs w:val="24"/>
      <w:lang w:eastAsia="en-US"/>
    </w:rPr>
  </w:style>
  <w:style w:type="paragraph" w:styleId="NoSpacing">
    <w:name w:val="No Spacing"/>
    <w:uiPriority w:val="1"/>
    <w:qFormat/>
    <w:rsid w:val="007E3BF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CB6212"/>
    <w:pPr>
      <w:spacing w:before="100" w:beforeAutospacing="1" w:after="100" w:afterAutospacing="1"/>
    </w:pPr>
    <w:rPr>
      <w:rFonts w:ascii="Times New Roman" w:hAnsi="Times New Roman"/>
      <w:lang w:eastAsia="en-GB"/>
    </w:rPr>
  </w:style>
  <w:style w:type="character" w:styleId="Strong">
    <w:name w:val="Strong"/>
    <w:basedOn w:val="DefaultParagraphFont"/>
    <w:uiPriority w:val="22"/>
    <w:qFormat/>
    <w:rsid w:val="00CB6212"/>
    <w:rPr>
      <w:b/>
      <w:bCs/>
    </w:rPr>
  </w:style>
  <w:style w:type="character" w:customStyle="1" w:styleId="skimlinks-unlinked">
    <w:name w:val="skimlinks-unlinked"/>
    <w:basedOn w:val="DefaultParagraphFont"/>
    <w:rsid w:val="00CB6212"/>
  </w:style>
  <w:style w:type="character" w:customStyle="1" w:styleId="apple-converted-space">
    <w:name w:val="apple-converted-space"/>
    <w:basedOn w:val="DefaultParagraphFont"/>
    <w:rsid w:val="00CB6212"/>
  </w:style>
  <w:style w:type="character" w:customStyle="1" w:styleId="aqj">
    <w:name w:val="aqj"/>
    <w:basedOn w:val="DefaultParagraphFont"/>
    <w:rsid w:val="00827F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0494"/>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94142"/>
    <w:pPr>
      <w:tabs>
        <w:tab w:val="center" w:pos="4320"/>
        <w:tab w:val="right" w:pos="8640"/>
      </w:tabs>
    </w:pPr>
  </w:style>
  <w:style w:type="paragraph" w:styleId="Footer">
    <w:name w:val="footer"/>
    <w:basedOn w:val="Normal"/>
    <w:link w:val="FooterChar"/>
    <w:uiPriority w:val="99"/>
    <w:rsid w:val="00194142"/>
    <w:pPr>
      <w:tabs>
        <w:tab w:val="center" w:pos="4320"/>
        <w:tab w:val="right" w:pos="8640"/>
      </w:tabs>
    </w:pPr>
  </w:style>
  <w:style w:type="character" w:styleId="Hyperlink">
    <w:name w:val="Hyperlink"/>
    <w:uiPriority w:val="99"/>
    <w:rsid w:val="003E76EF"/>
    <w:rPr>
      <w:color w:val="0000FF"/>
      <w:u w:val="single"/>
    </w:rPr>
  </w:style>
  <w:style w:type="paragraph" w:styleId="BalloonText">
    <w:name w:val="Balloon Text"/>
    <w:basedOn w:val="Normal"/>
    <w:semiHidden/>
    <w:rsid w:val="003E76EF"/>
    <w:rPr>
      <w:rFonts w:ascii="Tahoma" w:hAnsi="Tahoma" w:cs="Tahoma"/>
      <w:sz w:val="16"/>
      <w:szCs w:val="16"/>
    </w:rPr>
  </w:style>
  <w:style w:type="paragraph" w:styleId="ListParagraph">
    <w:name w:val="List Paragraph"/>
    <w:basedOn w:val="Normal"/>
    <w:uiPriority w:val="34"/>
    <w:qFormat/>
    <w:rsid w:val="005E1664"/>
    <w:pPr>
      <w:spacing w:after="200" w:line="276" w:lineRule="auto"/>
      <w:ind w:left="720"/>
      <w:contextualSpacing/>
    </w:pPr>
    <w:rPr>
      <w:rFonts w:ascii="Calibri" w:hAnsi="Calibri"/>
      <w:sz w:val="22"/>
      <w:szCs w:val="22"/>
      <w:lang w:eastAsia="en-GB"/>
    </w:rPr>
  </w:style>
  <w:style w:type="paragraph" w:customStyle="1" w:styleId="Normal1">
    <w:name w:val="Normal1"/>
    <w:rsid w:val="005C1F0A"/>
    <w:pPr>
      <w:spacing w:line="276" w:lineRule="auto"/>
    </w:pPr>
    <w:rPr>
      <w:rFonts w:ascii="Arial" w:eastAsia="Arial" w:hAnsi="Arial" w:cs="Arial"/>
      <w:color w:val="000000"/>
      <w:sz w:val="22"/>
    </w:rPr>
  </w:style>
  <w:style w:type="table" w:styleId="TableGrid">
    <w:name w:val="Table Grid"/>
    <w:basedOn w:val="TableNormal"/>
    <w:uiPriority w:val="59"/>
    <w:rsid w:val="00602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73958"/>
    <w:rPr>
      <w:rFonts w:ascii="Arial" w:hAnsi="Arial"/>
      <w:sz w:val="24"/>
      <w:szCs w:val="24"/>
      <w:lang w:eastAsia="en-US"/>
    </w:rPr>
  </w:style>
  <w:style w:type="paragraph" w:styleId="NoSpacing">
    <w:name w:val="No Spacing"/>
    <w:uiPriority w:val="1"/>
    <w:qFormat/>
    <w:rsid w:val="007E3BF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CB6212"/>
    <w:pPr>
      <w:spacing w:before="100" w:beforeAutospacing="1" w:after="100" w:afterAutospacing="1"/>
    </w:pPr>
    <w:rPr>
      <w:rFonts w:ascii="Times New Roman" w:hAnsi="Times New Roman"/>
      <w:lang w:eastAsia="en-GB"/>
    </w:rPr>
  </w:style>
  <w:style w:type="character" w:styleId="Strong">
    <w:name w:val="Strong"/>
    <w:basedOn w:val="DefaultParagraphFont"/>
    <w:uiPriority w:val="22"/>
    <w:qFormat/>
    <w:rsid w:val="00CB6212"/>
    <w:rPr>
      <w:b/>
      <w:bCs/>
    </w:rPr>
  </w:style>
  <w:style w:type="character" w:customStyle="1" w:styleId="skimlinks-unlinked">
    <w:name w:val="skimlinks-unlinked"/>
    <w:basedOn w:val="DefaultParagraphFont"/>
    <w:rsid w:val="00CB6212"/>
  </w:style>
  <w:style w:type="character" w:customStyle="1" w:styleId="apple-converted-space">
    <w:name w:val="apple-converted-space"/>
    <w:basedOn w:val="DefaultParagraphFont"/>
    <w:rsid w:val="00CB6212"/>
  </w:style>
  <w:style w:type="character" w:customStyle="1" w:styleId="aqj">
    <w:name w:val="aqj"/>
    <w:basedOn w:val="DefaultParagraphFont"/>
    <w:rsid w:val="00827F2C"/>
  </w:style>
</w:styles>
</file>

<file path=word/webSettings.xml><?xml version="1.0" encoding="utf-8"?>
<w:webSettings xmlns:r="http://schemas.openxmlformats.org/officeDocument/2006/relationships" xmlns:w="http://schemas.openxmlformats.org/wordprocessingml/2006/main">
  <w:divs>
    <w:div w:id="193157554">
      <w:bodyDiv w:val="1"/>
      <w:marLeft w:val="0"/>
      <w:marRight w:val="0"/>
      <w:marTop w:val="0"/>
      <w:marBottom w:val="0"/>
      <w:divBdr>
        <w:top w:val="none" w:sz="0" w:space="0" w:color="auto"/>
        <w:left w:val="none" w:sz="0" w:space="0" w:color="auto"/>
        <w:bottom w:val="none" w:sz="0" w:space="0" w:color="auto"/>
        <w:right w:val="none" w:sz="0" w:space="0" w:color="auto"/>
      </w:divBdr>
      <w:divsChild>
        <w:div w:id="856236610">
          <w:marLeft w:val="0"/>
          <w:marRight w:val="0"/>
          <w:marTop w:val="0"/>
          <w:marBottom w:val="0"/>
          <w:divBdr>
            <w:top w:val="none" w:sz="0" w:space="0" w:color="auto"/>
            <w:left w:val="none" w:sz="0" w:space="0" w:color="auto"/>
            <w:bottom w:val="none" w:sz="0" w:space="0" w:color="auto"/>
            <w:right w:val="none" w:sz="0" w:space="0" w:color="auto"/>
          </w:divBdr>
        </w:div>
        <w:div w:id="1304889543">
          <w:marLeft w:val="0"/>
          <w:marRight w:val="0"/>
          <w:marTop w:val="0"/>
          <w:marBottom w:val="0"/>
          <w:divBdr>
            <w:top w:val="none" w:sz="0" w:space="0" w:color="auto"/>
            <w:left w:val="none" w:sz="0" w:space="0" w:color="auto"/>
            <w:bottom w:val="none" w:sz="0" w:space="0" w:color="auto"/>
            <w:right w:val="none" w:sz="0" w:space="0" w:color="auto"/>
          </w:divBdr>
        </w:div>
        <w:div w:id="1467312506">
          <w:marLeft w:val="0"/>
          <w:marRight w:val="0"/>
          <w:marTop w:val="0"/>
          <w:marBottom w:val="0"/>
          <w:divBdr>
            <w:top w:val="none" w:sz="0" w:space="0" w:color="auto"/>
            <w:left w:val="none" w:sz="0" w:space="0" w:color="auto"/>
            <w:bottom w:val="none" w:sz="0" w:space="0" w:color="auto"/>
            <w:right w:val="none" w:sz="0" w:space="0" w:color="auto"/>
          </w:divBdr>
        </w:div>
        <w:div w:id="4553924">
          <w:marLeft w:val="0"/>
          <w:marRight w:val="0"/>
          <w:marTop w:val="0"/>
          <w:marBottom w:val="0"/>
          <w:divBdr>
            <w:top w:val="none" w:sz="0" w:space="0" w:color="auto"/>
            <w:left w:val="none" w:sz="0" w:space="0" w:color="auto"/>
            <w:bottom w:val="none" w:sz="0" w:space="0" w:color="auto"/>
            <w:right w:val="none" w:sz="0" w:space="0" w:color="auto"/>
          </w:divBdr>
          <w:divsChild>
            <w:div w:id="898202072">
              <w:marLeft w:val="0"/>
              <w:marRight w:val="0"/>
              <w:marTop w:val="0"/>
              <w:marBottom w:val="0"/>
              <w:divBdr>
                <w:top w:val="none" w:sz="0" w:space="0" w:color="auto"/>
                <w:left w:val="none" w:sz="0" w:space="0" w:color="auto"/>
                <w:bottom w:val="none" w:sz="0" w:space="0" w:color="auto"/>
                <w:right w:val="none" w:sz="0" w:space="0" w:color="auto"/>
              </w:divBdr>
            </w:div>
          </w:divsChild>
        </w:div>
        <w:div w:id="723530095">
          <w:marLeft w:val="0"/>
          <w:marRight w:val="0"/>
          <w:marTop w:val="0"/>
          <w:marBottom w:val="0"/>
          <w:divBdr>
            <w:top w:val="none" w:sz="0" w:space="0" w:color="auto"/>
            <w:left w:val="none" w:sz="0" w:space="0" w:color="auto"/>
            <w:bottom w:val="none" w:sz="0" w:space="0" w:color="auto"/>
            <w:right w:val="none" w:sz="0" w:space="0" w:color="auto"/>
          </w:divBdr>
        </w:div>
        <w:div w:id="113327085">
          <w:marLeft w:val="0"/>
          <w:marRight w:val="0"/>
          <w:marTop w:val="0"/>
          <w:marBottom w:val="0"/>
          <w:divBdr>
            <w:top w:val="none" w:sz="0" w:space="0" w:color="auto"/>
            <w:left w:val="none" w:sz="0" w:space="0" w:color="auto"/>
            <w:bottom w:val="none" w:sz="0" w:space="0" w:color="auto"/>
            <w:right w:val="none" w:sz="0" w:space="0" w:color="auto"/>
          </w:divBdr>
        </w:div>
      </w:divsChild>
    </w:div>
    <w:div w:id="207036783">
      <w:bodyDiv w:val="1"/>
      <w:marLeft w:val="0"/>
      <w:marRight w:val="0"/>
      <w:marTop w:val="0"/>
      <w:marBottom w:val="0"/>
      <w:divBdr>
        <w:top w:val="none" w:sz="0" w:space="0" w:color="auto"/>
        <w:left w:val="none" w:sz="0" w:space="0" w:color="auto"/>
        <w:bottom w:val="none" w:sz="0" w:space="0" w:color="auto"/>
        <w:right w:val="none" w:sz="0" w:space="0" w:color="auto"/>
      </w:divBdr>
      <w:divsChild>
        <w:div w:id="711808311">
          <w:marLeft w:val="0"/>
          <w:marRight w:val="0"/>
          <w:marTop w:val="0"/>
          <w:marBottom w:val="0"/>
          <w:divBdr>
            <w:top w:val="none" w:sz="0" w:space="0" w:color="auto"/>
            <w:left w:val="none" w:sz="0" w:space="0" w:color="auto"/>
            <w:bottom w:val="none" w:sz="0" w:space="0" w:color="auto"/>
            <w:right w:val="none" w:sz="0" w:space="0" w:color="auto"/>
          </w:divBdr>
        </w:div>
        <w:div w:id="858665092">
          <w:marLeft w:val="0"/>
          <w:marRight w:val="0"/>
          <w:marTop w:val="0"/>
          <w:marBottom w:val="0"/>
          <w:divBdr>
            <w:top w:val="none" w:sz="0" w:space="0" w:color="auto"/>
            <w:left w:val="none" w:sz="0" w:space="0" w:color="auto"/>
            <w:bottom w:val="none" w:sz="0" w:space="0" w:color="auto"/>
            <w:right w:val="none" w:sz="0" w:space="0" w:color="auto"/>
          </w:divBdr>
        </w:div>
        <w:div w:id="1556698715">
          <w:marLeft w:val="0"/>
          <w:marRight w:val="0"/>
          <w:marTop w:val="0"/>
          <w:marBottom w:val="0"/>
          <w:divBdr>
            <w:top w:val="none" w:sz="0" w:space="0" w:color="auto"/>
            <w:left w:val="none" w:sz="0" w:space="0" w:color="auto"/>
            <w:bottom w:val="none" w:sz="0" w:space="0" w:color="auto"/>
            <w:right w:val="none" w:sz="0" w:space="0" w:color="auto"/>
          </w:divBdr>
        </w:div>
      </w:divsChild>
    </w:div>
    <w:div w:id="239220191">
      <w:bodyDiv w:val="1"/>
      <w:marLeft w:val="0"/>
      <w:marRight w:val="0"/>
      <w:marTop w:val="0"/>
      <w:marBottom w:val="0"/>
      <w:divBdr>
        <w:top w:val="none" w:sz="0" w:space="0" w:color="auto"/>
        <w:left w:val="none" w:sz="0" w:space="0" w:color="auto"/>
        <w:bottom w:val="none" w:sz="0" w:space="0" w:color="auto"/>
        <w:right w:val="none" w:sz="0" w:space="0" w:color="auto"/>
      </w:divBdr>
    </w:div>
    <w:div w:id="574389894">
      <w:bodyDiv w:val="1"/>
      <w:marLeft w:val="0"/>
      <w:marRight w:val="0"/>
      <w:marTop w:val="0"/>
      <w:marBottom w:val="0"/>
      <w:divBdr>
        <w:top w:val="none" w:sz="0" w:space="0" w:color="auto"/>
        <w:left w:val="none" w:sz="0" w:space="0" w:color="auto"/>
        <w:bottom w:val="none" w:sz="0" w:space="0" w:color="auto"/>
        <w:right w:val="none" w:sz="0" w:space="0" w:color="auto"/>
      </w:divBdr>
    </w:div>
    <w:div w:id="682977635">
      <w:bodyDiv w:val="1"/>
      <w:marLeft w:val="0"/>
      <w:marRight w:val="0"/>
      <w:marTop w:val="0"/>
      <w:marBottom w:val="0"/>
      <w:divBdr>
        <w:top w:val="none" w:sz="0" w:space="0" w:color="auto"/>
        <w:left w:val="none" w:sz="0" w:space="0" w:color="auto"/>
        <w:bottom w:val="none" w:sz="0" w:space="0" w:color="auto"/>
        <w:right w:val="none" w:sz="0" w:space="0" w:color="auto"/>
      </w:divBdr>
      <w:divsChild>
        <w:div w:id="941915451">
          <w:marLeft w:val="0"/>
          <w:marRight w:val="0"/>
          <w:marTop w:val="0"/>
          <w:marBottom w:val="0"/>
          <w:divBdr>
            <w:top w:val="none" w:sz="0" w:space="0" w:color="auto"/>
            <w:left w:val="none" w:sz="0" w:space="0" w:color="auto"/>
            <w:bottom w:val="none" w:sz="0" w:space="0" w:color="auto"/>
            <w:right w:val="none" w:sz="0" w:space="0" w:color="auto"/>
          </w:divBdr>
        </w:div>
        <w:div w:id="2008509959">
          <w:marLeft w:val="0"/>
          <w:marRight w:val="0"/>
          <w:marTop w:val="0"/>
          <w:marBottom w:val="0"/>
          <w:divBdr>
            <w:top w:val="none" w:sz="0" w:space="0" w:color="auto"/>
            <w:left w:val="none" w:sz="0" w:space="0" w:color="auto"/>
            <w:bottom w:val="none" w:sz="0" w:space="0" w:color="auto"/>
            <w:right w:val="none" w:sz="0" w:space="0" w:color="auto"/>
          </w:divBdr>
        </w:div>
        <w:div w:id="907109395">
          <w:marLeft w:val="0"/>
          <w:marRight w:val="0"/>
          <w:marTop w:val="0"/>
          <w:marBottom w:val="0"/>
          <w:divBdr>
            <w:top w:val="none" w:sz="0" w:space="0" w:color="auto"/>
            <w:left w:val="none" w:sz="0" w:space="0" w:color="auto"/>
            <w:bottom w:val="none" w:sz="0" w:space="0" w:color="auto"/>
            <w:right w:val="none" w:sz="0" w:space="0" w:color="auto"/>
          </w:divBdr>
        </w:div>
        <w:div w:id="1602646213">
          <w:marLeft w:val="0"/>
          <w:marRight w:val="0"/>
          <w:marTop w:val="0"/>
          <w:marBottom w:val="0"/>
          <w:divBdr>
            <w:top w:val="none" w:sz="0" w:space="0" w:color="auto"/>
            <w:left w:val="none" w:sz="0" w:space="0" w:color="auto"/>
            <w:bottom w:val="none" w:sz="0" w:space="0" w:color="auto"/>
            <w:right w:val="none" w:sz="0" w:space="0" w:color="auto"/>
          </w:divBdr>
        </w:div>
        <w:div w:id="1378820456">
          <w:marLeft w:val="0"/>
          <w:marRight w:val="0"/>
          <w:marTop w:val="0"/>
          <w:marBottom w:val="0"/>
          <w:divBdr>
            <w:top w:val="none" w:sz="0" w:space="0" w:color="auto"/>
            <w:left w:val="none" w:sz="0" w:space="0" w:color="auto"/>
            <w:bottom w:val="none" w:sz="0" w:space="0" w:color="auto"/>
            <w:right w:val="none" w:sz="0" w:space="0" w:color="auto"/>
          </w:divBdr>
        </w:div>
        <w:div w:id="899750838">
          <w:marLeft w:val="0"/>
          <w:marRight w:val="0"/>
          <w:marTop w:val="0"/>
          <w:marBottom w:val="0"/>
          <w:divBdr>
            <w:top w:val="none" w:sz="0" w:space="0" w:color="auto"/>
            <w:left w:val="none" w:sz="0" w:space="0" w:color="auto"/>
            <w:bottom w:val="none" w:sz="0" w:space="0" w:color="auto"/>
            <w:right w:val="none" w:sz="0" w:space="0" w:color="auto"/>
          </w:divBdr>
          <w:divsChild>
            <w:div w:id="545601151">
              <w:marLeft w:val="0"/>
              <w:marRight w:val="0"/>
              <w:marTop w:val="0"/>
              <w:marBottom w:val="0"/>
              <w:divBdr>
                <w:top w:val="none" w:sz="0" w:space="0" w:color="auto"/>
                <w:left w:val="none" w:sz="0" w:space="0" w:color="auto"/>
                <w:bottom w:val="none" w:sz="0" w:space="0" w:color="auto"/>
                <w:right w:val="none" w:sz="0" w:space="0" w:color="auto"/>
              </w:divBdr>
              <w:divsChild>
                <w:div w:id="1143549235">
                  <w:marLeft w:val="0"/>
                  <w:marRight w:val="0"/>
                  <w:marTop w:val="0"/>
                  <w:marBottom w:val="0"/>
                  <w:divBdr>
                    <w:top w:val="none" w:sz="0" w:space="0" w:color="auto"/>
                    <w:left w:val="none" w:sz="0" w:space="0" w:color="auto"/>
                    <w:bottom w:val="none" w:sz="0" w:space="0" w:color="auto"/>
                    <w:right w:val="none" w:sz="0" w:space="0" w:color="auto"/>
                  </w:divBdr>
                  <w:divsChild>
                    <w:div w:id="70267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13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png"/><Relationship Id="rId5" Type="http://schemas.openxmlformats.org/officeDocument/2006/relationships/image" Target="media/image6.png"/><Relationship Id="rId4"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AEDC7-0959-41FB-A4C8-633B052BB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British Standards Institution</Company>
  <LinksUpToDate>false</LinksUpToDate>
  <CharactersWithSpaces>5456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Cheney</dc:creator>
  <cp:lastModifiedBy>ktownsend</cp:lastModifiedBy>
  <cp:revision>2</cp:revision>
  <cp:lastPrinted>2017-09-12T10:13:00Z</cp:lastPrinted>
  <dcterms:created xsi:type="dcterms:W3CDTF">2017-09-12T11:08:00Z</dcterms:created>
  <dcterms:modified xsi:type="dcterms:W3CDTF">2017-09-12T11:08:00Z</dcterms:modified>
</cp:coreProperties>
</file>