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DB" w:rsidRDefault="009359DB"/>
    <w:p w:rsidR="009359DB" w:rsidRDefault="009359DB"/>
    <w:p w:rsidR="009359DB" w:rsidRDefault="009359DB"/>
    <w:p w:rsidR="00540499" w:rsidRDefault="009359D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-561975</wp:posOffset>
            </wp:positionV>
            <wp:extent cx="2336165" cy="790575"/>
            <wp:effectExtent l="1905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B4F" w:rsidRDefault="00EC3B4F" w:rsidP="00EC3B4F"/>
    <w:p w:rsidR="00EC3B4F" w:rsidRPr="005B6CCD" w:rsidRDefault="00E87417" w:rsidP="00EC3B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u w:val="single"/>
          <w:lang w:eastAsia="en-GB"/>
        </w:rPr>
        <w:t>Covid-19 Catch up</w:t>
      </w:r>
    </w:p>
    <w:p w:rsidR="00EC3B4F" w:rsidRPr="005B6CCD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In June, a £1 billion fund for education was announced by the government.  Further guidance has now been released (https://www.gov.uk/guidance/coronavirus-covid-19-catch-up-premium) showing that the money is split between a catch-up premium and a national tutoring scheme.</w:t>
      </w:r>
    </w:p>
    <w:p w:rsidR="00EC3B4F" w:rsidRPr="005B6CCD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The catch-up premium is funded on a per pupil basis at £80 per pupil. This will be based on the previous year’s census, meaning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GLPS 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will be in receipt of £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2808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(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351 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x £80).  The spending of this money will be down to schools to allocate as they see </w:t>
      </w:r>
      <w:proofErr w:type="gramStart"/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best</w:t>
      </w:r>
      <w:proofErr w:type="gramEnd"/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. To support schools to make the best use of this funding, the Education Endowment Foundation has published a support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guide for schools with evidence 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based approaches to catch up for all students.</w:t>
      </w:r>
    </w:p>
    <w:p w:rsidR="00EC3B4F" w:rsidRPr="00EC3B4F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00B050"/>
          <w:sz w:val="28"/>
          <w:szCs w:val="28"/>
          <w:u w:val="single"/>
          <w:lang w:eastAsia="en-GB"/>
        </w:rPr>
      </w:pPr>
      <w:r w:rsidRPr="00EC3B4F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>Spending:</w:t>
      </w:r>
      <w:r w:rsidRPr="00EC3B4F">
        <w:rPr>
          <w:rFonts w:ascii="Arial" w:eastAsia="Times New Roman" w:hAnsi="Arial" w:cs="Arial"/>
          <w:color w:val="00B050"/>
          <w:sz w:val="28"/>
          <w:szCs w:val="28"/>
          <w:u w:val="single"/>
          <w:lang w:eastAsia="en-GB"/>
        </w:rPr>
        <w:t xml:space="preserve"> </w:t>
      </w:r>
    </w:p>
    <w:p w:rsidR="00EC3B4F" w:rsidRPr="005B6CCD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At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GLPS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, this money will be used in order to:</w:t>
      </w:r>
    </w:p>
    <w:p w:rsidR="00EC3B4F" w:rsidRPr="00EC3B4F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Purchase curriculum resources and materials that support pupils to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close gaps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. These include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Accelerat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ed Reader, </w:t>
      </w:r>
      <w:proofErr w:type="spellStart"/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myON</w:t>
      </w:r>
      <w:proofErr w:type="spellEnd"/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, Doodle Maths, a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dditional phonics reading materials, additional resources for high frequency words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,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for families to support children at home, additional banded reading books, head phones to allow for independent work using IT interventions whilst teachers carry ou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 interventions in small groups and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additional resources to support EYFS outdoor social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,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speaking and listening sk</w:t>
      </w: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ills.</w:t>
      </w:r>
    </w:p>
    <w:p w:rsidR="00EC3B4F" w:rsidRPr="00EC3B4F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EYFS CPD from Early Excellence on outdoor learning.</w:t>
      </w:r>
    </w:p>
    <w:p w:rsidR="00EC3B4F" w:rsidRPr="00EC3B4F" w:rsidRDefault="00E87417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Staff CPD on Accelerated Reader, Star R</w:t>
      </w:r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eader assessments and </w:t>
      </w:r>
      <w:proofErr w:type="spellStart"/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myON</w:t>
      </w:r>
      <w:proofErr w:type="spellEnd"/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, </w:t>
      </w:r>
    </w:p>
    <w:p w:rsidR="00EC3B4F" w:rsidRPr="005B6CCD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Governor CPD on Acc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elerated Reader, Doodle Maths, p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honics and Early Reading, Talk for writing.</w:t>
      </w:r>
    </w:p>
    <w:p w:rsidR="00EC3B4F" w:rsidRPr="00EC3B4F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Fund additional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teachers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to develop the outcomes of children who have been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identified as needing catch up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in their learning.</w:t>
      </w:r>
    </w:p>
    <w:p w:rsidR="00EC3B4F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Parent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training sessions on phonics, Accelerated R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eader and </w:t>
      </w:r>
      <w:proofErr w:type="spellStart"/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myON</w:t>
      </w:r>
      <w:proofErr w:type="spellEnd"/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</w:t>
      </w:r>
    </w:p>
    <w:p w:rsidR="00EC3B4F" w:rsidRDefault="00EC3B4F" w:rsidP="00EC3B4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Default="00EC3B4F" w:rsidP="00EC3B4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Pr="00EC3B4F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00B050"/>
          <w:sz w:val="28"/>
          <w:szCs w:val="28"/>
          <w:u w:val="single"/>
          <w:lang w:eastAsia="en-GB"/>
        </w:rPr>
      </w:pPr>
      <w:r w:rsidRPr="00EC3B4F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>Aims</w:t>
      </w:r>
    </w:p>
    <w:p w:rsidR="00EC3B4F" w:rsidRPr="00EC3B4F" w:rsidRDefault="00E87417" w:rsidP="0015006B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The broad aims for catch up at</w:t>
      </w:r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  <w:r w:rsid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GLPS</w:t>
      </w:r>
      <w:proofErr w:type="gramStart"/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:.</w:t>
      </w:r>
      <w:proofErr w:type="gramEnd"/>
    </w:p>
    <w:p w:rsidR="00EC3B4F" w:rsidRDefault="00EC3B4F" w:rsidP="00EC3B4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By the end of the 2021-22 year, attainment outcomes for all year groups will be at least in line with those at the end of the 2019-20 year.</w:t>
      </w:r>
    </w:p>
    <w:p w:rsidR="007802E7" w:rsidRDefault="007802E7" w:rsidP="007802E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7802E7" w:rsidRPr="005B6CCD" w:rsidRDefault="007802E7" w:rsidP="007802E7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</w:pPr>
      <w:r w:rsidRPr="005B6CCD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 xml:space="preserve">Catch Up at </w:t>
      </w:r>
      <w:r w:rsidRPr="007802E7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>GLPS</w:t>
      </w:r>
      <w:r w:rsidRPr="005B6CCD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 xml:space="preserve"> is</w:t>
      </w:r>
    </w:p>
    <w:p w:rsidR="007802E7" w:rsidRPr="005B6CCD" w:rsidRDefault="007802E7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9"/>
          <w:szCs w:val="29"/>
          <w:lang w:eastAsia="en-GB"/>
        </w:rPr>
      </w:pPr>
      <w:r w:rsidRPr="005B6CCD">
        <w:rPr>
          <w:rFonts w:ascii="Arial" w:eastAsia="Times New Roman" w:hAnsi="Arial" w:cs="Arial"/>
          <w:i/>
          <w:iCs/>
          <w:color w:val="4A474B"/>
          <w:sz w:val="29"/>
          <w:lang w:eastAsia="en-GB"/>
        </w:rPr>
        <w:t>(For all children)</w:t>
      </w:r>
    </w:p>
    <w:p w:rsidR="007802E7" w:rsidRPr="005B6CCD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Working through well sequenced, purposeful learning schemes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. For example, our school-created writing schemes are being adapted to focus on missed objectives and consolidate the basics. In maths, we will utilise the </w:t>
      </w:r>
      <w:r w:rsidRPr="007802E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White Rose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Maths 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cheme as our spine of learning </w:t>
      </w:r>
      <w:r w:rsidRPr="007802E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and we have purchased Doodle maths as our maths intervention.</w:t>
      </w:r>
    </w:p>
    <w:p w:rsidR="00E87417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Focus on consolidation of basic skills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The core skills which enable successful learning will require increased curriculum time across all year groups. These include: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Handwriting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S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pelling of high frequency </w:t>
      </w: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words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Basic sentence punctuation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imes tables recall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asic addition &amp; subtraction 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Fact recall 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</w:p>
    <w:p w:rsidR="007802E7" w:rsidRPr="005B6CCD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R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eading skills relevant to age.</w:t>
      </w:r>
    </w:p>
    <w:p w:rsidR="007802E7" w:rsidRPr="005B6CCD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Additional lesson time on core teaching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. Reading, writing and maths teaching will require increased teaching time in order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to cover missed learning; 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particularly in the autumn term. In order to keep a broad and balanced curriculum, some subject areas may be taught as blocked days rather than weekly lessons in the autumn term.</w:t>
      </w:r>
    </w:p>
    <w:p w:rsidR="007802E7" w:rsidRPr="005B6CCD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Particular focus on early reading and phonics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This is always a focus in the school and will continue to be so in order to develop children’s reading ability and vocabulary.</w:t>
      </w:r>
    </w:p>
    <w:p w:rsidR="007802E7" w:rsidRPr="005B6CCD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Assessment of learning and of basic skills to identify major gaps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Teachers will work to identify gaps in learning and adapt teaching accordingly.</w:t>
      </w:r>
    </w:p>
    <w:p w:rsidR="009359DB" w:rsidRDefault="009359DB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15006B" w:rsidRDefault="0015006B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15006B" w:rsidRDefault="0015006B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15006B" w:rsidRDefault="0015006B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7802E7" w:rsidRPr="005B6CCD" w:rsidRDefault="007802E7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i/>
          <w:iCs/>
          <w:color w:val="4A474B"/>
          <w:sz w:val="29"/>
          <w:lang w:eastAsia="en-GB"/>
        </w:rPr>
        <w:t>(</w:t>
      </w:r>
      <w:r w:rsidRPr="007802E7">
        <w:rPr>
          <w:rFonts w:ascii="Arial" w:eastAsia="Times New Roman" w:hAnsi="Arial" w:cs="Arial"/>
          <w:i/>
          <w:iCs/>
          <w:color w:val="4A474B"/>
          <w:sz w:val="24"/>
          <w:szCs w:val="24"/>
          <w:lang w:eastAsia="en-GB"/>
        </w:rPr>
        <w:t>For some children)</w:t>
      </w:r>
    </w:p>
    <w:p w:rsidR="007802E7" w:rsidRPr="005B6CCD" w:rsidRDefault="007802E7" w:rsidP="007802E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Additional support and focus on basic core skills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Supported by additional staffing utilising catch up premium – dependent on need as identified through ongoing assessment.</w:t>
      </w:r>
    </w:p>
    <w:p w:rsidR="007802E7" w:rsidRPr="005B6CCD" w:rsidRDefault="007802E7" w:rsidP="007802E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Additional time to practice basic skills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This again will be dependent on need of children in order to re-establish good progress in the essentials (phonics and reading, increasing vocabulary, writing and mathematics) and there will be flexibility on timetables to allow this.</w:t>
      </w:r>
    </w:p>
    <w:p w:rsidR="007802E7" w:rsidRPr="005B6CCD" w:rsidRDefault="007802E7" w:rsidP="007802E7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n-GB"/>
        </w:rPr>
      </w:pPr>
      <w:r w:rsidRPr="005B6CCD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n-GB"/>
        </w:rPr>
        <w:t xml:space="preserve">Catch up at </w:t>
      </w:r>
      <w:r w:rsidRPr="007802E7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n-GB"/>
        </w:rPr>
        <w:t>GLPS</w:t>
      </w:r>
      <w:r w:rsidRPr="005B6CCD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n-GB"/>
        </w:rPr>
        <w:t xml:space="preserve"> IS NOT:</w:t>
      </w:r>
    </w:p>
    <w:p w:rsidR="007802E7" w:rsidRPr="005B6CCD" w:rsidRDefault="007802E7" w:rsidP="007802E7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Cramming missed learning</w:t>
      </w:r>
    </w:p>
    <w:p w:rsidR="007802E7" w:rsidRPr="005B6CCD" w:rsidRDefault="007802E7" w:rsidP="007802E7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Pressuring children and families into rapid learning</w:t>
      </w:r>
    </w:p>
    <w:p w:rsidR="007802E7" w:rsidRPr="005B6CCD" w:rsidRDefault="007802E7" w:rsidP="007802E7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Teachers time spent highlighting missed objectives</w:t>
      </w:r>
    </w:p>
    <w:p w:rsidR="007802E7" w:rsidRPr="005B6CCD" w:rsidRDefault="007802E7" w:rsidP="007802E7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Teachers time spent ticking off assessment points and extra tracking</w:t>
      </w:r>
    </w:p>
    <w:p w:rsidR="007802E7" w:rsidRDefault="007802E7" w:rsidP="007802E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Default="00EC3B4F" w:rsidP="00EC3B4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Pr="00EC3B4F" w:rsidRDefault="00EC3B4F" w:rsidP="00EC3B4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Default="00EC3B4F">
      <w:bookmarkStart w:id="0" w:name="_GoBack"/>
      <w:bookmarkEnd w:id="0"/>
    </w:p>
    <w:sectPr w:rsidR="00EC3B4F" w:rsidSect="007F1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F31"/>
    <w:multiLevelType w:val="multilevel"/>
    <w:tmpl w:val="02D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F5358"/>
    <w:multiLevelType w:val="multilevel"/>
    <w:tmpl w:val="501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C71C9"/>
    <w:multiLevelType w:val="multilevel"/>
    <w:tmpl w:val="080C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709B7"/>
    <w:multiLevelType w:val="multilevel"/>
    <w:tmpl w:val="B18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D5109"/>
    <w:multiLevelType w:val="multilevel"/>
    <w:tmpl w:val="24B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D7D4A"/>
    <w:multiLevelType w:val="multilevel"/>
    <w:tmpl w:val="AEC088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3B4F"/>
    <w:rsid w:val="000F6002"/>
    <w:rsid w:val="0015006B"/>
    <w:rsid w:val="007802E7"/>
    <w:rsid w:val="007F1352"/>
    <w:rsid w:val="009359DB"/>
    <w:rsid w:val="00993C11"/>
    <w:rsid w:val="00AB46AA"/>
    <w:rsid w:val="00AD50CA"/>
    <w:rsid w:val="00CB46D0"/>
    <w:rsid w:val="00E87417"/>
    <w:rsid w:val="00EC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3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TLovelock</dc:creator>
  <cp:lastModifiedBy>TLovelock</cp:lastModifiedBy>
  <cp:revision>2</cp:revision>
  <cp:lastPrinted>2021-06-09T10:18:00Z</cp:lastPrinted>
  <dcterms:created xsi:type="dcterms:W3CDTF">2022-01-11T15:03:00Z</dcterms:created>
  <dcterms:modified xsi:type="dcterms:W3CDTF">2022-01-11T15:03:00Z</dcterms:modified>
</cp:coreProperties>
</file>