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5187" w14:textId="1439F8B3" w:rsidR="006D5AF8" w:rsidRDefault="00A32E40" w:rsidP="00B11755">
      <w:pPr>
        <w:spacing w:line="360" w:lineRule="atLeast"/>
        <w:rPr>
          <w:rFonts w:asciiTheme="minorHAnsi" w:eastAsia="MS Mincho" w:hAnsiTheme="minorHAnsi" w:cstheme="minorHAnsi"/>
          <w:lang w:eastAsia="ja-JP"/>
        </w:rPr>
      </w:pPr>
      <w:r>
        <w:rPr>
          <w:rFonts w:asciiTheme="minorHAnsi" w:eastAsia="MS Mincho" w:hAnsiTheme="minorHAnsi" w:cstheme="minorHAnsi"/>
          <w:noProof/>
        </w:rPr>
        <w:drawing>
          <wp:anchor distT="0" distB="0" distL="114300" distR="114300" simplePos="0" relativeHeight="251677696" behindDoc="0" locked="0" layoutInCell="1" allowOverlap="1" wp14:anchorId="0F06A493" wp14:editId="07EC99DB">
            <wp:simplePos x="0" y="0"/>
            <wp:positionH relativeFrom="column">
              <wp:posOffset>5200650</wp:posOffset>
            </wp:positionH>
            <wp:positionV relativeFrom="paragraph">
              <wp:posOffset>-22225</wp:posOffset>
            </wp:positionV>
            <wp:extent cx="1012825" cy="542290"/>
            <wp:effectExtent l="0" t="0" r="0" b="0"/>
            <wp:wrapSquare wrapText="bothSides"/>
            <wp:docPr id="4" name="Picture 4" descr="C:\Users\slmsb1\AppData\Local\Microsoft\Windows\Temporary Internet Files\Content.Outlook\9LF834XJ\SG-L1-3-Mark-2016-17-promo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msb1\AppData\Local\Microsoft\Windows\Temporary Internet Files\Content.Outlook\9LF834XJ\SG-L1-3-Mark-2016-17-promo graph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F8">
        <w:rPr>
          <w:rFonts w:asciiTheme="minorHAnsi" w:eastAsia="MS Mincho" w:hAnsiTheme="minorHAnsi" w:cstheme="minorHAnsi"/>
          <w:noProof/>
        </w:rPr>
        <w:drawing>
          <wp:anchor distT="0" distB="0" distL="114300" distR="114300" simplePos="0" relativeHeight="251673600" behindDoc="1" locked="0" layoutInCell="1" allowOverlap="1" wp14:anchorId="0DE63122" wp14:editId="4F407E9A">
            <wp:simplePos x="0" y="0"/>
            <wp:positionH relativeFrom="column">
              <wp:posOffset>1270</wp:posOffset>
            </wp:positionH>
            <wp:positionV relativeFrom="paragraph">
              <wp:posOffset>-212725</wp:posOffset>
            </wp:positionV>
            <wp:extent cx="661035" cy="864870"/>
            <wp:effectExtent l="0" t="0" r="5715" b="0"/>
            <wp:wrapTight wrapText="bothSides">
              <wp:wrapPolygon edited="0">
                <wp:start x="1867" y="0"/>
                <wp:lineTo x="0" y="952"/>
                <wp:lineTo x="622" y="20934"/>
                <wp:lineTo x="3112" y="20934"/>
                <wp:lineTo x="3735" y="20458"/>
                <wp:lineTo x="7470" y="15700"/>
                <wp:lineTo x="17429" y="15700"/>
                <wp:lineTo x="21164" y="13797"/>
                <wp:lineTo x="21164" y="2379"/>
                <wp:lineTo x="18674" y="0"/>
                <wp:lineTo x="1867" y="0"/>
              </wp:wrapPolygon>
            </wp:wrapTight>
            <wp:docPr id="2" name="Picture 2" descr="C:\Users\hwbgh2\Desktop\School-Games-L1-3-2015-logo-no-spons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bgh2\Desktop\School-Games-L1-3-2015-logo-no-sponsor-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C8136" w14:textId="77777777" w:rsidR="006D5AF8" w:rsidRDefault="006D5AF8" w:rsidP="00B11755">
      <w:pPr>
        <w:spacing w:line="360" w:lineRule="atLeast"/>
        <w:rPr>
          <w:rFonts w:asciiTheme="minorHAnsi" w:eastAsia="MS Mincho" w:hAnsiTheme="minorHAnsi" w:cstheme="minorHAnsi"/>
          <w:lang w:eastAsia="ja-JP"/>
        </w:rPr>
      </w:pPr>
    </w:p>
    <w:p w14:paraId="01D46F44" w14:textId="3F6D0F61" w:rsidR="00586C26" w:rsidRPr="000046D2" w:rsidRDefault="00586C26" w:rsidP="00B11755">
      <w:pPr>
        <w:spacing w:line="360" w:lineRule="atLeast"/>
        <w:rPr>
          <w:rFonts w:asciiTheme="minorHAnsi" w:eastAsia="MS Mincho" w:hAnsiTheme="minorHAnsi" w:cstheme="minorHAnsi"/>
          <w:lang w:eastAsia="ja-JP"/>
        </w:rPr>
      </w:pPr>
    </w:p>
    <w:p w14:paraId="52759718" w14:textId="77777777" w:rsidR="00960972" w:rsidRPr="001A17F9" w:rsidRDefault="00960972" w:rsidP="009F1632">
      <w:pPr>
        <w:shd w:val="clear" w:color="auto" w:fill="00A7E7"/>
        <w:spacing w:line="360" w:lineRule="atLeast"/>
        <w:jc w:val="center"/>
        <w:rPr>
          <w:rFonts w:asciiTheme="minorHAnsi" w:hAnsiTheme="minorHAnsi" w:cstheme="minorHAnsi"/>
          <w:b/>
          <w:caps/>
          <w:sz w:val="32"/>
        </w:rPr>
      </w:pPr>
    </w:p>
    <w:p w14:paraId="04325521" w14:textId="5D012FDB" w:rsidR="00586C26" w:rsidRPr="001A17F9" w:rsidRDefault="00B11755" w:rsidP="009F1632">
      <w:pPr>
        <w:shd w:val="clear" w:color="auto" w:fill="00A7E7"/>
        <w:spacing w:line="360" w:lineRule="atLeast"/>
        <w:jc w:val="center"/>
        <w:rPr>
          <w:rFonts w:asciiTheme="minorHAnsi" w:hAnsiTheme="minorHAnsi" w:cstheme="minorHAnsi"/>
          <w:b/>
          <w:caps/>
          <w:sz w:val="32"/>
        </w:rPr>
      </w:pPr>
      <w:r w:rsidRPr="001A17F9">
        <w:rPr>
          <w:rFonts w:asciiTheme="minorHAnsi" w:hAnsiTheme="minorHAnsi" w:cstheme="minorHAnsi"/>
          <w:b/>
          <w:caps/>
          <w:sz w:val="32"/>
        </w:rPr>
        <w:t xml:space="preserve">SCHOOL GAMES </w:t>
      </w:r>
      <w:r w:rsidR="00065F97">
        <w:rPr>
          <w:rFonts w:asciiTheme="minorHAnsi" w:hAnsiTheme="minorHAnsi" w:cstheme="minorHAnsi"/>
          <w:b/>
          <w:caps/>
          <w:sz w:val="32"/>
        </w:rPr>
        <w:t>Mark</w:t>
      </w:r>
      <w:r w:rsidR="006D5AF8">
        <w:rPr>
          <w:rFonts w:asciiTheme="minorHAnsi" w:hAnsiTheme="minorHAnsi" w:cstheme="minorHAnsi"/>
          <w:b/>
          <w:caps/>
          <w:sz w:val="32"/>
        </w:rPr>
        <w:t xml:space="preserve"> 201</w:t>
      </w:r>
      <w:r w:rsidR="00865C52">
        <w:rPr>
          <w:rFonts w:asciiTheme="minorHAnsi" w:hAnsiTheme="minorHAnsi" w:cstheme="minorHAnsi"/>
          <w:b/>
          <w:caps/>
          <w:sz w:val="32"/>
        </w:rPr>
        <w:t>6/17</w:t>
      </w:r>
    </w:p>
    <w:p w14:paraId="19F88B90" w14:textId="77777777" w:rsidR="00960972" w:rsidRPr="001A17F9" w:rsidRDefault="00960972" w:rsidP="009F1632">
      <w:pPr>
        <w:shd w:val="clear" w:color="auto" w:fill="00A7E7"/>
        <w:spacing w:line="360" w:lineRule="atLeast"/>
        <w:jc w:val="center"/>
        <w:rPr>
          <w:rFonts w:asciiTheme="minorHAnsi" w:hAnsiTheme="minorHAnsi" w:cstheme="minorHAnsi"/>
          <w:b/>
          <w:caps/>
          <w:sz w:val="32"/>
        </w:rPr>
      </w:pPr>
    </w:p>
    <w:p w14:paraId="6F0ECC1B" w14:textId="77777777" w:rsidR="009F1632" w:rsidRDefault="009F1632" w:rsidP="00586C26">
      <w:pPr>
        <w:spacing w:line="480" w:lineRule="atLeast"/>
        <w:jc w:val="center"/>
        <w:rPr>
          <w:rFonts w:asciiTheme="minorHAnsi" w:hAnsiTheme="minorHAnsi" w:cstheme="minorHAnsi"/>
          <w:b/>
          <w:sz w:val="32"/>
        </w:rPr>
      </w:pPr>
    </w:p>
    <w:p w14:paraId="25B91BE0" w14:textId="77777777" w:rsidR="00586C26" w:rsidRPr="001A17F9" w:rsidRDefault="00B11755" w:rsidP="002475A8">
      <w:pPr>
        <w:spacing w:line="480" w:lineRule="atLeast"/>
        <w:jc w:val="center"/>
        <w:rPr>
          <w:rFonts w:asciiTheme="minorHAnsi" w:hAnsiTheme="minorHAnsi" w:cstheme="minorHAnsi"/>
          <w:b/>
          <w:sz w:val="32"/>
        </w:rPr>
      </w:pPr>
      <w:r w:rsidRPr="001A17F9">
        <w:rPr>
          <w:rFonts w:asciiTheme="minorHAnsi" w:hAnsiTheme="minorHAnsi" w:cstheme="minorHAnsi"/>
          <w:b/>
          <w:sz w:val="32"/>
        </w:rPr>
        <w:t xml:space="preserve">SUMMARY </w:t>
      </w:r>
      <w:r w:rsidR="00586C26" w:rsidRPr="001A17F9">
        <w:rPr>
          <w:rFonts w:asciiTheme="minorHAnsi" w:hAnsiTheme="minorHAnsi" w:cstheme="minorHAnsi"/>
          <w:b/>
          <w:sz w:val="32"/>
        </w:rPr>
        <w:t>VALIDATION REPORT</w:t>
      </w:r>
      <w:r w:rsidR="002475A8">
        <w:rPr>
          <w:rFonts w:asciiTheme="minorHAnsi" w:hAnsiTheme="minorHAnsi" w:cstheme="minorHAnsi"/>
          <w:b/>
          <w:sz w:val="32"/>
        </w:rPr>
        <w:t xml:space="preserve"> </w:t>
      </w:r>
      <w:r w:rsidR="00586C26" w:rsidRPr="001A17F9">
        <w:rPr>
          <w:rFonts w:asciiTheme="minorHAnsi" w:hAnsiTheme="minorHAnsi" w:cstheme="minorHAnsi"/>
          <w:b/>
          <w:sz w:val="32"/>
        </w:rPr>
        <w:t>FOR</w:t>
      </w:r>
    </w:p>
    <w:p w14:paraId="496F21CA" w14:textId="092507C9" w:rsidR="00586C26" w:rsidRPr="000046D2" w:rsidRDefault="008226C6" w:rsidP="00A24DAA">
      <w:pPr>
        <w:spacing w:line="480" w:lineRule="atLeast"/>
        <w:jc w:val="center"/>
        <w:rPr>
          <w:rFonts w:asciiTheme="minorHAnsi" w:eastAsia="MS Mincho" w:hAnsiTheme="minorHAnsi" w:cstheme="minorHAnsi"/>
          <w:b/>
          <w:sz w:val="32"/>
          <w:lang w:eastAsia="ja-JP"/>
        </w:rPr>
      </w:pPr>
      <w:r>
        <w:rPr>
          <w:rFonts w:asciiTheme="minorHAnsi" w:eastAsia="MS Mincho" w:hAnsiTheme="minorHAnsi" w:cstheme="minorHAnsi"/>
          <w:b/>
          <w:sz w:val="32"/>
          <w:lang w:eastAsia="ja-JP"/>
        </w:rPr>
        <w:t xml:space="preserve">Great </w:t>
      </w:r>
      <w:proofErr w:type="spellStart"/>
      <w:r>
        <w:rPr>
          <w:rFonts w:asciiTheme="minorHAnsi" w:eastAsia="MS Mincho" w:hAnsiTheme="minorHAnsi" w:cstheme="minorHAnsi"/>
          <w:b/>
          <w:sz w:val="32"/>
          <w:lang w:eastAsia="ja-JP"/>
        </w:rPr>
        <w:t>Linford</w:t>
      </w:r>
      <w:proofErr w:type="spellEnd"/>
      <w:r>
        <w:rPr>
          <w:rFonts w:asciiTheme="minorHAnsi" w:eastAsia="MS Mincho" w:hAnsiTheme="minorHAnsi" w:cstheme="minorHAnsi"/>
          <w:b/>
          <w:sz w:val="32"/>
          <w:lang w:eastAsia="ja-JP"/>
        </w:rPr>
        <w:t xml:space="preserve"> Primary School</w:t>
      </w:r>
    </w:p>
    <w:p w14:paraId="47700BD0" w14:textId="14A021D6" w:rsidR="00586C26" w:rsidRPr="001A17F9" w:rsidRDefault="00586C26" w:rsidP="00586C26">
      <w:pPr>
        <w:spacing w:line="360" w:lineRule="atLeast"/>
        <w:rPr>
          <w:rFonts w:asciiTheme="minorHAnsi" w:hAnsiTheme="minorHAnsi" w:cstheme="minorHAnsi"/>
          <w:b/>
        </w:rPr>
      </w:pPr>
    </w:p>
    <w:p w14:paraId="308204B4" w14:textId="63E4E020" w:rsidR="00586C26" w:rsidRPr="001A17F9" w:rsidRDefault="00A32E40" w:rsidP="006D5AF8">
      <w:pPr>
        <w:spacing w:line="36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32DE30D5" wp14:editId="4CE6DBD5">
            <wp:extent cx="1440000" cy="1440000"/>
            <wp:effectExtent l="0" t="0" r="8255" b="8255"/>
            <wp:docPr id="5" name="Picture 5" descr="C:\Users\slmsb1\AppData\Local\Microsoft\Windows\Temporary Internet Files\Content.Outlook\9LF834XJ\SG-L1-3-Mark-2016-17-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msb1\AppData\Local\Microsoft\Windows\Temporary Internet Files\Content.Outlook\9LF834XJ\SG-L1-3-Mark-2016-17-silv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B3494" w14:textId="77777777" w:rsidR="00586C26" w:rsidRDefault="00586C26" w:rsidP="00586C26">
      <w:pPr>
        <w:spacing w:line="360" w:lineRule="atLeast"/>
        <w:rPr>
          <w:rFonts w:asciiTheme="minorHAnsi" w:hAnsiTheme="minorHAnsi" w:cstheme="minorHAnsi"/>
          <w:b/>
        </w:rPr>
      </w:pPr>
    </w:p>
    <w:p w14:paraId="5E3E0A6C" w14:textId="419B520A" w:rsidR="002475A8" w:rsidRPr="001A17F9" w:rsidRDefault="002475A8" w:rsidP="00586C26">
      <w:pPr>
        <w:spacing w:line="360" w:lineRule="atLeast"/>
        <w:rPr>
          <w:rFonts w:asciiTheme="minorHAnsi" w:hAnsiTheme="minorHAnsi" w:cstheme="minorHAnsi"/>
          <w:b/>
        </w:rPr>
      </w:pPr>
    </w:p>
    <w:p w14:paraId="0D22B544" w14:textId="77777777" w:rsidR="00586C26" w:rsidRPr="001A17F9" w:rsidRDefault="00586C26" w:rsidP="00586C26">
      <w:pPr>
        <w:spacing w:line="360" w:lineRule="atLeast"/>
        <w:rPr>
          <w:rFonts w:asciiTheme="minorHAnsi" w:hAnsiTheme="minorHAnsi" w:cstheme="minorHAnsi"/>
          <w:b/>
        </w:rPr>
      </w:pPr>
    </w:p>
    <w:p w14:paraId="0790B7FD" w14:textId="77777777" w:rsidR="002475A8" w:rsidRDefault="002475A8" w:rsidP="00586C26">
      <w:pPr>
        <w:spacing w:line="360" w:lineRule="atLeast"/>
        <w:jc w:val="center"/>
        <w:rPr>
          <w:rFonts w:asciiTheme="minorHAnsi" w:hAnsiTheme="minorHAnsi" w:cstheme="minorHAnsi"/>
          <w:sz w:val="32"/>
        </w:rPr>
      </w:pPr>
    </w:p>
    <w:p w14:paraId="55EF26EC" w14:textId="77777777" w:rsidR="002475A8" w:rsidRDefault="002475A8" w:rsidP="00586C26">
      <w:pPr>
        <w:spacing w:line="360" w:lineRule="atLeast"/>
        <w:jc w:val="center"/>
        <w:rPr>
          <w:rFonts w:asciiTheme="minorHAnsi" w:hAnsiTheme="minorHAnsi" w:cstheme="minorHAnsi"/>
          <w:sz w:val="32"/>
        </w:rPr>
      </w:pPr>
    </w:p>
    <w:p w14:paraId="52B5068C" w14:textId="77777777" w:rsidR="00586C26" w:rsidRPr="001A17F9" w:rsidRDefault="00586C26" w:rsidP="00586C26">
      <w:pPr>
        <w:spacing w:line="360" w:lineRule="atLeast"/>
        <w:jc w:val="center"/>
        <w:rPr>
          <w:rFonts w:asciiTheme="minorHAnsi" w:hAnsiTheme="minorHAnsi" w:cstheme="minorHAnsi"/>
          <w:sz w:val="32"/>
        </w:rPr>
      </w:pPr>
      <w:r w:rsidRPr="001A17F9">
        <w:rPr>
          <w:rFonts w:asciiTheme="minorHAnsi" w:hAnsiTheme="minorHAnsi" w:cstheme="minorHAnsi"/>
          <w:sz w:val="32"/>
        </w:rPr>
        <w:t xml:space="preserve">Prepared by the </w:t>
      </w:r>
    </w:p>
    <w:p w14:paraId="05C90866" w14:textId="77777777" w:rsidR="00586C26" w:rsidRPr="001A17F9" w:rsidRDefault="00586C26" w:rsidP="00586C26">
      <w:pPr>
        <w:spacing w:line="360" w:lineRule="atLeast"/>
        <w:jc w:val="center"/>
        <w:rPr>
          <w:rFonts w:asciiTheme="minorHAnsi" w:hAnsiTheme="minorHAnsi" w:cstheme="minorHAnsi"/>
          <w:sz w:val="32"/>
        </w:rPr>
      </w:pPr>
      <w:r w:rsidRPr="001A17F9">
        <w:rPr>
          <w:rFonts w:asciiTheme="minorHAnsi" w:hAnsiTheme="minorHAnsi" w:cstheme="minorHAnsi"/>
          <w:sz w:val="32"/>
        </w:rPr>
        <w:t>Sport Industry Research Centre, Sheffield Hallam University</w:t>
      </w:r>
    </w:p>
    <w:p w14:paraId="0C53D4E0" w14:textId="77777777" w:rsidR="00586C26" w:rsidRPr="001A17F9" w:rsidRDefault="00520468" w:rsidP="00586C26">
      <w:pPr>
        <w:spacing w:line="360" w:lineRule="atLeast"/>
        <w:jc w:val="center"/>
        <w:rPr>
          <w:rFonts w:asciiTheme="minorHAnsi" w:hAnsiTheme="minorHAnsi" w:cstheme="minorHAnsi"/>
          <w:sz w:val="32"/>
        </w:rPr>
      </w:pPr>
      <w:r w:rsidRPr="001A17F9">
        <w:rPr>
          <w:rFonts w:asciiTheme="minorHAnsi" w:hAnsiTheme="minorHAnsi" w:cstheme="minorHAnsi"/>
          <w:b/>
          <w:bCs/>
          <w:noProof/>
          <w:sz w:val="20"/>
        </w:rPr>
        <w:drawing>
          <wp:anchor distT="0" distB="0" distL="114300" distR="114300" simplePos="0" relativeHeight="251665408" behindDoc="0" locked="0" layoutInCell="1" allowOverlap="1" wp14:anchorId="5A375270" wp14:editId="17626CC1">
            <wp:simplePos x="0" y="0"/>
            <wp:positionH relativeFrom="column">
              <wp:posOffset>2163445</wp:posOffset>
            </wp:positionH>
            <wp:positionV relativeFrom="paragraph">
              <wp:posOffset>129540</wp:posOffset>
            </wp:positionV>
            <wp:extent cx="2079625" cy="503555"/>
            <wp:effectExtent l="0" t="0" r="0" b="0"/>
            <wp:wrapSquare wrapText="bothSides"/>
            <wp:docPr id="8" name="Picture 2" descr="https://staff.shu.ac.uk/marketing/Documents/SIRC_Logo_215_229_72dpi%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https://staff.shu.ac.uk/marketing/Documents/SIRC_Logo_215_229_72dpi%20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071A421C" w14:textId="77777777" w:rsidR="00586C26" w:rsidRPr="001A17F9" w:rsidRDefault="00586C26" w:rsidP="00586C26">
      <w:pPr>
        <w:spacing w:line="360" w:lineRule="atLeast"/>
        <w:jc w:val="center"/>
        <w:rPr>
          <w:rFonts w:asciiTheme="minorHAnsi" w:hAnsiTheme="minorHAnsi" w:cstheme="minorHAnsi"/>
          <w:b/>
          <w:bCs/>
          <w:noProof/>
          <w:sz w:val="20"/>
        </w:rPr>
      </w:pPr>
    </w:p>
    <w:p w14:paraId="1566F082" w14:textId="77777777" w:rsidR="00586C26" w:rsidRPr="001A17F9" w:rsidRDefault="00586C26" w:rsidP="00586C26">
      <w:pPr>
        <w:jc w:val="center"/>
        <w:rPr>
          <w:rFonts w:asciiTheme="minorHAnsi" w:hAnsiTheme="minorHAnsi" w:cstheme="minorHAnsi"/>
          <w:sz w:val="32"/>
        </w:rPr>
      </w:pPr>
    </w:p>
    <w:p w14:paraId="292577E1" w14:textId="77777777" w:rsidR="009D59FA" w:rsidRPr="001A17F9" w:rsidRDefault="009D59FA" w:rsidP="00586C26">
      <w:pPr>
        <w:spacing w:line="360" w:lineRule="atLeast"/>
        <w:jc w:val="center"/>
        <w:rPr>
          <w:rFonts w:asciiTheme="minorHAnsi" w:hAnsiTheme="minorHAnsi" w:cstheme="minorHAnsi"/>
          <w:sz w:val="32"/>
        </w:rPr>
      </w:pPr>
    </w:p>
    <w:p w14:paraId="1D74C59D" w14:textId="77777777" w:rsidR="002475A8" w:rsidRDefault="002475A8" w:rsidP="00586C26">
      <w:pPr>
        <w:spacing w:line="360" w:lineRule="atLeast"/>
        <w:jc w:val="center"/>
        <w:rPr>
          <w:rFonts w:asciiTheme="minorHAnsi" w:hAnsiTheme="minorHAnsi" w:cstheme="minorHAnsi"/>
          <w:sz w:val="32"/>
          <w:highlight w:val="yellow"/>
        </w:rPr>
      </w:pPr>
    </w:p>
    <w:p w14:paraId="048BB7A3" w14:textId="77777777" w:rsidR="002475A8" w:rsidRPr="00A24DAA" w:rsidRDefault="002475A8" w:rsidP="00586C26">
      <w:pPr>
        <w:spacing w:line="360" w:lineRule="atLeast"/>
        <w:jc w:val="center"/>
        <w:rPr>
          <w:rFonts w:asciiTheme="minorHAnsi" w:hAnsiTheme="minorHAnsi" w:cstheme="minorHAnsi"/>
          <w:sz w:val="32"/>
          <w:highlight w:val="yellow"/>
        </w:rPr>
      </w:pPr>
    </w:p>
    <w:p w14:paraId="7F10A235" w14:textId="0FEAE9D3" w:rsidR="00586C26" w:rsidRPr="001A17F9" w:rsidRDefault="00020EB6" w:rsidP="00586C26">
      <w:pPr>
        <w:spacing w:line="360" w:lineRule="atLeast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eastAsia="MS Mincho" w:hAnsiTheme="minorHAnsi" w:cstheme="minorHAnsi"/>
          <w:sz w:val="32"/>
          <w:lang w:eastAsia="ja-JP"/>
        </w:rPr>
        <w:t>1</w:t>
      </w:r>
      <w:r w:rsidR="001A306F">
        <w:rPr>
          <w:rFonts w:asciiTheme="minorHAnsi" w:eastAsia="MS Mincho" w:hAnsiTheme="minorHAnsi" w:cstheme="minorHAnsi"/>
          <w:sz w:val="32"/>
          <w:lang w:eastAsia="ja-JP"/>
        </w:rPr>
        <w:t>7</w:t>
      </w:r>
      <w:r w:rsidRPr="00020EB6">
        <w:rPr>
          <w:rFonts w:asciiTheme="minorHAnsi" w:eastAsia="MS Mincho" w:hAnsiTheme="minorHAnsi" w:cstheme="minorHAnsi"/>
          <w:sz w:val="32"/>
          <w:vertAlign w:val="superscript"/>
          <w:lang w:eastAsia="ja-JP"/>
        </w:rPr>
        <w:t>th</w:t>
      </w:r>
      <w:r>
        <w:rPr>
          <w:rFonts w:asciiTheme="minorHAnsi" w:eastAsia="MS Mincho" w:hAnsiTheme="minorHAnsi" w:cstheme="minorHAnsi"/>
          <w:sz w:val="32"/>
          <w:lang w:eastAsia="ja-JP"/>
        </w:rPr>
        <w:t xml:space="preserve"> </w:t>
      </w:r>
      <w:proofErr w:type="gramStart"/>
      <w:r>
        <w:rPr>
          <w:rFonts w:asciiTheme="minorHAnsi" w:eastAsia="MS Mincho" w:hAnsiTheme="minorHAnsi" w:cstheme="minorHAnsi"/>
          <w:sz w:val="32"/>
          <w:lang w:eastAsia="ja-JP"/>
        </w:rPr>
        <w:t>July,</w:t>
      </w:r>
      <w:proofErr w:type="gramEnd"/>
      <w:r w:rsidR="00FD2A82" w:rsidRPr="00865C52">
        <w:rPr>
          <w:rFonts w:asciiTheme="minorHAnsi" w:eastAsia="MS Mincho" w:hAnsiTheme="minorHAnsi" w:cstheme="minorHAnsi"/>
          <w:sz w:val="32"/>
          <w:lang w:eastAsia="ja-JP"/>
        </w:rPr>
        <w:t xml:space="preserve"> 201</w:t>
      </w:r>
      <w:r w:rsidR="00865C52">
        <w:rPr>
          <w:rFonts w:asciiTheme="minorHAnsi" w:eastAsia="MS Mincho" w:hAnsiTheme="minorHAnsi" w:cstheme="minorHAnsi"/>
          <w:sz w:val="32"/>
          <w:lang w:eastAsia="ja-JP"/>
        </w:rPr>
        <w:t>7</w:t>
      </w:r>
    </w:p>
    <w:p w14:paraId="74CD7468" w14:textId="77777777" w:rsidR="00520468" w:rsidRPr="001A17F9" w:rsidRDefault="00520468" w:rsidP="00586C26">
      <w:pPr>
        <w:spacing w:after="200" w:line="276" w:lineRule="auto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</w:p>
    <w:p w14:paraId="21173C32" w14:textId="1031861F" w:rsidR="009D59FA" w:rsidRPr="001A17F9" w:rsidRDefault="00FD2A82" w:rsidP="00586C26">
      <w:pPr>
        <w:spacing w:after="200" w:line="276" w:lineRule="auto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7BFC7CEA" wp14:editId="5F67F9FE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621030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534" y="21130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G-L1-3-partner-lockup-2015-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D20EF" w14:textId="77777777" w:rsidR="00586C26" w:rsidRPr="001A17F9" w:rsidRDefault="00586C26" w:rsidP="00586C26">
      <w:pPr>
        <w:spacing w:after="200" w:line="276" w:lineRule="auto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1A17F9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br w:type="page"/>
      </w:r>
    </w:p>
    <w:p w14:paraId="5C953156" w14:textId="714C9292" w:rsidR="00A253C4" w:rsidRPr="001A17F9" w:rsidRDefault="006D5AF8" w:rsidP="009729FE">
      <w:pPr>
        <w:ind w:right="-1"/>
        <w:rPr>
          <w:rFonts w:asciiTheme="minorHAnsi" w:hAnsiTheme="minorHAnsi" w:cstheme="minorHAnsi"/>
          <w:b/>
          <w:i/>
          <w:iCs/>
          <w:noProof/>
          <w:sz w:val="28"/>
          <w:szCs w:val="28"/>
          <w:u w:val="single"/>
          <w:lang w:eastAsia="zh-CN"/>
        </w:rPr>
      </w:pPr>
      <w:r>
        <w:rPr>
          <w:rFonts w:asciiTheme="minorHAnsi" w:eastAsia="MS Mincho" w:hAnsiTheme="minorHAnsi" w:cstheme="minorHAnsi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F160E66" wp14:editId="367A3972">
            <wp:simplePos x="0" y="0"/>
            <wp:positionH relativeFrom="column">
              <wp:posOffset>6000115</wp:posOffset>
            </wp:positionH>
            <wp:positionV relativeFrom="paragraph">
              <wp:posOffset>-264795</wp:posOffset>
            </wp:positionV>
            <wp:extent cx="448310" cy="586740"/>
            <wp:effectExtent l="0" t="0" r="8890" b="3810"/>
            <wp:wrapTight wrapText="bothSides">
              <wp:wrapPolygon edited="0">
                <wp:start x="6425" y="0"/>
                <wp:lineTo x="0" y="0"/>
                <wp:lineTo x="0" y="21039"/>
                <wp:lineTo x="4589" y="21039"/>
                <wp:lineTo x="11014" y="20338"/>
                <wp:lineTo x="21110" y="14727"/>
                <wp:lineTo x="21110" y="2104"/>
                <wp:lineTo x="18357" y="0"/>
                <wp:lineTo x="6425" y="0"/>
              </wp:wrapPolygon>
            </wp:wrapTight>
            <wp:docPr id="7" name="Picture 7" descr="C:\Users\hwbgh2\Desktop\School-Games-L1-3-2015-logo-no-spons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bgh2\Desktop\School-Games-L1-3-2015-logo-no-sponsor-rg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F13" w:rsidRPr="001A17F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10CC2D9" wp14:editId="6637BBB1">
            <wp:simplePos x="0" y="0"/>
            <wp:positionH relativeFrom="column">
              <wp:posOffset>4622800</wp:posOffset>
            </wp:positionH>
            <wp:positionV relativeFrom="paragraph">
              <wp:posOffset>-260985</wp:posOffset>
            </wp:positionV>
            <wp:extent cx="1188085" cy="287655"/>
            <wp:effectExtent l="0" t="0" r="0" b="0"/>
            <wp:wrapSquare wrapText="bothSides"/>
            <wp:docPr id="6" name="Picture 2" descr="https://staff.shu.ac.uk/marketing/Documents/SIRC_Logo_215_229_72dpi%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https://staff.shu.ac.uk/marketing/Documents/SIRC_Logo_215_229_72dpi%20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287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65F97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M</w:t>
      </w:r>
      <w:r w:rsidR="009729FE" w:rsidRPr="001A17F9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ark Validation</w:t>
      </w:r>
      <w:r w:rsidR="009729FE" w:rsidRPr="001A17F9">
        <w:rPr>
          <w:rFonts w:asciiTheme="minorHAnsi" w:hAnsiTheme="minorHAnsi" w:cstheme="minorHAnsi"/>
          <w:b/>
          <w:i/>
          <w:iCs/>
          <w:noProof/>
          <w:sz w:val="28"/>
          <w:szCs w:val="28"/>
          <w:u w:val="single"/>
          <w:lang w:eastAsia="zh-CN"/>
        </w:rPr>
        <w:t>: Summary of visit</w:t>
      </w:r>
    </w:p>
    <w:p w14:paraId="62929924" w14:textId="77777777" w:rsidR="00D57F13" w:rsidRPr="001A17F9" w:rsidRDefault="00D57F13" w:rsidP="009729FE">
      <w:pPr>
        <w:ind w:right="-1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384"/>
        <w:gridCol w:w="3260"/>
        <w:gridCol w:w="1765"/>
        <w:gridCol w:w="3905"/>
      </w:tblGrid>
      <w:tr w:rsidR="00486253" w:rsidRPr="000046D2" w14:paraId="44009E83" w14:textId="77777777" w:rsidTr="00B9542B">
        <w:tc>
          <w:tcPr>
            <w:tcW w:w="1384" w:type="dxa"/>
            <w:vAlign w:val="center"/>
          </w:tcPr>
          <w:p w14:paraId="2D09DF4F" w14:textId="77777777" w:rsidR="00486253" w:rsidRPr="009D71F6" w:rsidRDefault="003A0457" w:rsidP="009729FE">
            <w:pPr>
              <w:pStyle w:val="ListParagraph"/>
              <w:spacing w:after="0" w:line="360" w:lineRule="auto"/>
              <w:ind w:left="0" w:right="-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71F6">
              <w:rPr>
                <w:rFonts w:asciiTheme="minorHAnsi" w:hAnsiTheme="minorHAnsi" w:cstheme="minorHAnsi"/>
                <w:bCs/>
                <w:sz w:val="20"/>
                <w:szCs w:val="20"/>
              </w:rPr>
              <w:t>School Name: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C89C62" w14:textId="0448CC3A" w:rsidR="00486253" w:rsidRPr="00020EB6" w:rsidRDefault="008226C6" w:rsidP="00960972">
            <w:pPr>
              <w:pStyle w:val="ListParagraph"/>
              <w:spacing w:after="0" w:line="360" w:lineRule="auto"/>
              <w:ind w:left="0" w:right="-1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ja-JP"/>
              </w:rPr>
              <w:t xml:space="preserve">Great </w:t>
            </w:r>
            <w:proofErr w:type="spellStart"/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ja-JP"/>
              </w:rPr>
              <w:t>Linford</w:t>
            </w:r>
            <w:proofErr w:type="spellEnd"/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ja-JP"/>
              </w:rPr>
              <w:t xml:space="preserve"> Primary School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1244EC5" w14:textId="77777777" w:rsidR="00486253" w:rsidRPr="00020EB6" w:rsidRDefault="003A0457" w:rsidP="004E15C9">
            <w:pPr>
              <w:pStyle w:val="ListParagraph"/>
              <w:spacing w:after="0" w:line="360" w:lineRule="auto"/>
              <w:ind w:left="0" w:right="-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0EB6">
              <w:rPr>
                <w:rFonts w:asciiTheme="minorHAnsi" w:hAnsiTheme="minorHAnsi" w:cstheme="minorHAnsi"/>
                <w:bCs/>
                <w:sz w:val="20"/>
                <w:szCs w:val="20"/>
              </w:rPr>
              <w:t>Type of School: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08EE9617" w14:textId="09A6C05F" w:rsidR="00486253" w:rsidRPr="00020EB6" w:rsidRDefault="00020EB6" w:rsidP="004E15C9">
            <w:pPr>
              <w:pStyle w:val="ListParagraph"/>
              <w:spacing w:after="0" w:line="360" w:lineRule="auto"/>
              <w:ind w:left="0" w:right="-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0E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Primary </w:t>
            </w:r>
            <w:r w:rsidR="0049083A">
              <w:rPr>
                <w:rFonts w:asciiTheme="minorHAnsi" w:hAnsiTheme="minorHAnsi" w:cstheme="minorHAnsi"/>
                <w:bCs/>
                <w:sz w:val="20"/>
                <w:szCs w:val="20"/>
              </w:rPr>
              <w:t>school with KS2 of 121 to 499 students</w:t>
            </w:r>
          </w:p>
        </w:tc>
      </w:tr>
      <w:tr w:rsidR="00486253" w:rsidRPr="000046D2" w14:paraId="25AD95D8" w14:textId="77777777" w:rsidTr="00B9542B">
        <w:tc>
          <w:tcPr>
            <w:tcW w:w="1384" w:type="dxa"/>
            <w:vAlign w:val="center"/>
          </w:tcPr>
          <w:p w14:paraId="66CDDD3B" w14:textId="77777777" w:rsidR="00486253" w:rsidRPr="009D71F6" w:rsidRDefault="00486253" w:rsidP="00A15D3D">
            <w:pPr>
              <w:pStyle w:val="ListParagraph"/>
              <w:spacing w:after="0" w:line="360" w:lineRule="auto"/>
              <w:ind w:left="0" w:right="-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71F6">
              <w:rPr>
                <w:rFonts w:asciiTheme="minorHAnsi" w:hAnsiTheme="minorHAnsi" w:cstheme="minorHAnsi"/>
                <w:bCs/>
                <w:sz w:val="20"/>
                <w:szCs w:val="20"/>
              </w:rPr>
              <w:t>Award: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AD11E1" w14:textId="4909A9E5" w:rsidR="00486253" w:rsidRPr="00020EB6" w:rsidRDefault="00E9356B" w:rsidP="00A253C4">
            <w:pPr>
              <w:pStyle w:val="ListParagraph"/>
              <w:spacing w:after="0" w:line="360" w:lineRule="auto"/>
              <w:ind w:left="0" w:right="-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0EB6">
              <w:rPr>
                <w:rFonts w:asciiTheme="minorHAnsi" w:hAnsiTheme="minorHAnsi" w:cstheme="minorHAnsi"/>
                <w:bCs/>
                <w:sz w:val="20"/>
                <w:szCs w:val="20"/>
              </w:rPr>
              <w:t>Silver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493985D" w14:textId="77777777" w:rsidR="00486253" w:rsidRPr="00020EB6" w:rsidRDefault="003A0457" w:rsidP="00A253C4">
            <w:pPr>
              <w:pStyle w:val="ListParagraph"/>
              <w:spacing w:after="0" w:line="360" w:lineRule="auto"/>
              <w:ind w:left="0" w:right="-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0EB6">
              <w:rPr>
                <w:rFonts w:asciiTheme="minorHAnsi" w:hAnsiTheme="minorHAnsi" w:cstheme="minorHAnsi"/>
                <w:bCs/>
                <w:sz w:val="20"/>
                <w:szCs w:val="20"/>
              </w:rPr>
              <w:t>Date of visit: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6D490765" w14:textId="78F2E6FB" w:rsidR="00486253" w:rsidRPr="00020EB6" w:rsidRDefault="00020EB6" w:rsidP="00A253C4">
            <w:pPr>
              <w:pStyle w:val="ListParagraph"/>
              <w:spacing w:after="0" w:line="360" w:lineRule="auto"/>
              <w:ind w:left="0" w:right="-1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ja-JP"/>
              </w:rPr>
            </w:pPr>
            <w:r w:rsidRPr="00020EB6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ja-JP"/>
              </w:rPr>
              <w:t>1</w:t>
            </w:r>
            <w:r w:rsidR="008226C6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ja-JP"/>
              </w:rPr>
              <w:t>7</w:t>
            </w:r>
            <w:r w:rsidR="008226C6" w:rsidRPr="008226C6">
              <w:rPr>
                <w:rFonts w:asciiTheme="minorHAnsi" w:eastAsia="MS Mincho" w:hAnsiTheme="minorHAnsi" w:cstheme="minorHAnsi"/>
                <w:bCs/>
                <w:sz w:val="20"/>
                <w:szCs w:val="20"/>
                <w:vertAlign w:val="superscript"/>
                <w:lang w:eastAsia="ja-JP"/>
              </w:rPr>
              <w:t>th</w:t>
            </w:r>
            <w:r w:rsidRPr="00020EB6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ja-JP"/>
              </w:rPr>
              <w:t xml:space="preserve"> July 2017</w:t>
            </w:r>
          </w:p>
        </w:tc>
      </w:tr>
    </w:tbl>
    <w:p w14:paraId="0F5A4561" w14:textId="77777777" w:rsidR="00A253C4" w:rsidRPr="000046D2" w:rsidRDefault="00A253C4" w:rsidP="00A253C4">
      <w:pPr>
        <w:pStyle w:val="ListParagraph"/>
        <w:spacing w:after="0"/>
        <w:ind w:left="0" w:right="-1"/>
        <w:rPr>
          <w:rFonts w:asciiTheme="minorHAnsi" w:hAnsiTheme="minorHAnsi" w:cstheme="minorHAnsi"/>
          <w:bCs/>
          <w:sz w:val="18"/>
          <w:szCs w:val="18"/>
          <w:highlight w:val="yellow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9729FE" w:rsidRPr="001A17F9" w14:paraId="1B885C36" w14:textId="77777777" w:rsidTr="004E15C9">
        <w:trPr>
          <w:trHeight w:val="6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5FC6" w14:textId="77777777" w:rsidR="009729FE" w:rsidRPr="009D71F6" w:rsidRDefault="009729FE" w:rsidP="004E15C9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9D71F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Introduction:</w:t>
            </w:r>
          </w:p>
          <w:p w14:paraId="2F7AF7FC" w14:textId="4AA0E6AD" w:rsidR="009729FE" w:rsidRPr="001A17F9" w:rsidRDefault="005677FC" w:rsidP="008226C6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9D71F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The Sport Industry Research Centre at Sheffield Hallam University has been contracted by Sport England to conduct an independent validation on </w:t>
            </w:r>
            <w:r w:rsidR="006D5AF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>325</w:t>
            </w:r>
            <w:r w:rsidRPr="009D71F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schools</w:t>
            </w:r>
            <w:r w:rsidR="006D5AF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covering 225</w:t>
            </w:r>
            <w:r w:rsidR="00B11755" w:rsidRPr="009D71F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SGO areas</w:t>
            </w:r>
            <w:r w:rsidRPr="009D71F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for the 201</w:t>
            </w:r>
            <w:r w:rsidR="00865C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2A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>/1</w:t>
            </w:r>
            <w:r w:rsidR="00865C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>7</w:t>
            </w:r>
            <w:r w:rsidRPr="009D71F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period. As part of our validation visits we have been asked to make recommendations regarding improving the </w:t>
            </w:r>
            <w:r w:rsidR="00065F97" w:rsidRPr="009D71F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>Mark</w:t>
            </w:r>
            <w:r w:rsidRPr="009D71F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criteria for f</w:t>
            </w:r>
            <w:r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uture years and therefore the criteria for this year is </w:t>
            </w:r>
            <w:r w:rsidR="00B11755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again </w:t>
            </w:r>
            <w:r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subject to changes based </w:t>
            </w:r>
            <w:r w:rsidR="00B11755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>on the feedback we receive</w:t>
            </w:r>
            <w:r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and the validations completed.</w:t>
            </w:r>
            <w:r w:rsidR="00B9542B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226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Great </w:t>
            </w:r>
            <w:proofErr w:type="spellStart"/>
            <w:r w:rsidR="008226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>Linford</w:t>
            </w:r>
            <w:proofErr w:type="spellEnd"/>
            <w:r w:rsidR="008226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Primary School </w:t>
            </w:r>
            <w:r w:rsidR="00CB3E99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provided evidence of meeting or exceeding </w:t>
            </w:r>
            <w:r w:rsidR="00833726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>the required criteria</w:t>
            </w:r>
            <w:r w:rsidR="00CB3E99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in order to a</w:t>
            </w:r>
            <w:r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chieve the </w:t>
            </w:r>
            <w:r w:rsidR="00B75A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>Silver</w:t>
            </w:r>
            <w:r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School Games </w:t>
            </w:r>
            <w:r w:rsidR="00065F97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>Mark</w:t>
            </w:r>
            <w:r w:rsidR="00833726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. </w:t>
            </w:r>
            <w:r w:rsidR="003F4404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The key School Games </w:t>
            </w:r>
            <w:r w:rsidR="00065F97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Mark </w:t>
            </w:r>
            <w:r w:rsidR="003F4404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criteria relating to the </w:t>
            </w:r>
            <w:r w:rsidR="00B75A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>Silver</w:t>
            </w:r>
            <w:r w:rsidR="003F4404" w:rsidRPr="00B954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  <w:t xml:space="preserve"> award are highlighted below and a green /red score has been made in relation to the evidence seen or discussed with the validation team.</w:t>
            </w:r>
          </w:p>
        </w:tc>
      </w:tr>
    </w:tbl>
    <w:p w14:paraId="5946390A" w14:textId="77777777" w:rsidR="004E15C9" w:rsidRPr="001A17F9" w:rsidRDefault="00A15D3D" w:rsidP="00D57F13">
      <w:pPr>
        <w:spacing w:before="120"/>
        <w:ind w:right="-1"/>
        <w:rPr>
          <w:rFonts w:asciiTheme="minorHAnsi" w:hAnsiTheme="minorHAnsi" w:cstheme="minorHAnsi"/>
          <w:b/>
          <w:bCs/>
          <w:i/>
          <w:iCs/>
        </w:rPr>
      </w:pPr>
      <w:r w:rsidRPr="001A17F9">
        <w:rPr>
          <w:rFonts w:asciiTheme="minorHAnsi" w:hAnsiTheme="minorHAnsi" w:cstheme="minorHAnsi"/>
          <w:b/>
          <w:bCs/>
          <w:i/>
          <w:iCs/>
        </w:rPr>
        <w:t>Scoring Key</w:t>
      </w:r>
    </w:p>
    <w:tbl>
      <w:tblPr>
        <w:tblStyle w:val="TableGrid"/>
        <w:tblW w:w="56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B11755" w:rsidRPr="001A17F9" w14:paraId="4E1F346A" w14:textId="77777777" w:rsidTr="00B11755">
        <w:tc>
          <w:tcPr>
            <w:tcW w:w="2835" w:type="dxa"/>
            <w:shd w:val="clear" w:color="auto" w:fill="00B050"/>
            <w:vAlign w:val="center"/>
          </w:tcPr>
          <w:p w14:paraId="76072206" w14:textId="77777777" w:rsidR="00B11755" w:rsidRPr="001A17F9" w:rsidRDefault="00B11755" w:rsidP="00BC787A">
            <w:pPr>
              <w:ind w:right="-1"/>
              <w:rPr>
                <w:rFonts w:asciiTheme="minorHAnsi" w:hAnsiTheme="minorHAnsi" w:cstheme="minorHAnsi"/>
              </w:rPr>
            </w:pPr>
            <w:r w:rsidRPr="001A17F9">
              <w:rPr>
                <w:rFonts w:asciiTheme="minorHAnsi" w:hAnsiTheme="minorHAnsi" w:cstheme="minorHAnsi"/>
                <w:sz w:val="20"/>
                <w:szCs w:val="20"/>
              </w:rPr>
              <w:t>Green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0AB147E1" w14:textId="77777777" w:rsidR="00B11755" w:rsidRPr="001A17F9" w:rsidRDefault="00B11755" w:rsidP="00BC787A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1A17F9">
              <w:rPr>
                <w:rFonts w:asciiTheme="minorHAnsi" w:hAnsiTheme="minorHAnsi" w:cstheme="minorHAnsi"/>
                <w:sz w:val="20"/>
                <w:szCs w:val="20"/>
              </w:rPr>
              <w:t>Red</w:t>
            </w:r>
          </w:p>
        </w:tc>
      </w:tr>
      <w:tr w:rsidR="00B11755" w:rsidRPr="001A17F9" w14:paraId="3351BDCF" w14:textId="77777777" w:rsidTr="00B11755">
        <w:tc>
          <w:tcPr>
            <w:tcW w:w="2835" w:type="dxa"/>
            <w:shd w:val="clear" w:color="auto" w:fill="FFFFFF" w:themeFill="background1"/>
            <w:vAlign w:val="center"/>
          </w:tcPr>
          <w:p w14:paraId="1E2AB0C2" w14:textId="77777777" w:rsidR="00B11755" w:rsidRPr="001A17F9" w:rsidRDefault="00B11755" w:rsidP="00BC787A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1A17F9">
              <w:rPr>
                <w:rFonts w:asciiTheme="minorHAnsi" w:hAnsiTheme="minorHAnsi" w:cstheme="minorHAnsi"/>
                <w:sz w:val="20"/>
                <w:szCs w:val="20"/>
              </w:rPr>
              <w:t>Clear evidence provided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CBCBAE" w14:textId="77777777" w:rsidR="00B11755" w:rsidRPr="001A17F9" w:rsidRDefault="00B11755" w:rsidP="00BC787A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1A17F9">
              <w:rPr>
                <w:rFonts w:asciiTheme="minorHAnsi" w:hAnsiTheme="minorHAnsi" w:cstheme="minorHAnsi"/>
                <w:sz w:val="20"/>
                <w:szCs w:val="20"/>
              </w:rPr>
              <w:t>Little, no or incorrect evidence</w:t>
            </w:r>
          </w:p>
        </w:tc>
      </w:tr>
    </w:tbl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9"/>
        <w:gridCol w:w="979"/>
        <w:gridCol w:w="722"/>
        <w:gridCol w:w="708"/>
      </w:tblGrid>
      <w:tr w:rsidR="00BD446E" w:rsidRPr="001A17F9" w14:paraId="4874FE2C" w14:textId="77777777" w:rsidTr="00020EB6">
        <w:trPr>
          <w:trHeight w:val="331"/>
        </w:trPr>
        <w:tc>
          <w:tcPr>
            <w:tcW w:w="7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1744" w14:textId="77777777" w:rsidR="00BD446E" w:rsidRPr="001A17F9" w:rsidRDefault="00BD446E" w:rsidP="00020EB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A17F9">
              <w:rPr>
                <w:rFonts w:asciiTheme="minorHAnsi" w:hAnsiTheme="minorHAnsi" w:cstheme="minorHAnsi"/>
                <w:b/>
                <w:bCs/>
                <w:i/>
                <w:iCs/>
              </w:rPr>
              <w:t>Summary of evidence from validation visit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3BBB" w14:textId="77777777" w:rsidR="00BD446E" w:rsidRPr="001A17F9" w:rsidRDefault="00BD446E" w:rsidP="00020E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1A17F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Bronze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5F54" w14:textId="77777777" w:rsidR="00BD446E" w:rsidRPr="001A17F9" w:rsidRDefault="00BD446E" w:rsidP="00020E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1A17F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Silver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1706" w14:textId="77777777" w:rsidR="00BD446E" w:rsidRPr="001A17F9" w:rsidRDefault="00BD446E" w:rsidP="00020E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</w:pPr>
            <w:r w:rsidRPr="001A17F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zh-CN"/>
              </w:rPr>
              <w:t>Gold</w:t>
            </w:r>
          </w:p>
        </w:tc>
      </w:tr>
      <w:tr w:rsidR="00BD446E" w:rsidRPr="001A17F9" w14:paraId="188F34E6" w14:textId="77777777" w:rsidTr="00020EB6">
        <w:trPr>
          <w:trHeight w:val="7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47B247" w14:textId="77777777" w:rsidR="00BD446E" w:rsidRPr="00E63C55" w:rsidRDefault="00BD446E" w:rsidP="00020EB6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63C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Prerequisites</w:t>
            </w:r>
          </w:p>
        </w:tc>
      </w:tr>
      <w:tr w:rsidR="00BD446E" w:rsidRPr="001A17F9" w14:paraId="5BCEE06B" w14:textId="77777777" w:rsidTr="00BD55C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0CA2" w14:textId="77777777" w:rsidR="00BD446E" w:rsidRPr="00B94953" w:rsidRDefault="00BD446E" w:rsidP="00020EB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2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A system in place to track young people's participation in the School Games.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90A7BB7" w14:textId="77777777" w:rsidR="00BD446E" w:rsidRPr="00B94953" w:rsidRDefault="00BD446E" w:rsidP="00020EB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3905A8" w14:textId="77777777" w:rsidR="00BD446E" w:rsidRPr="00B94953" w:rsidRDefault="00BD446E" w:rsidP="00020EB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9AC044" w14:textId="77777777" w:rsidR="00BD446E" w:rsidRPr="00B94953" w:rsidRDefault="00BD446E" w:rsidP="00020EB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42A9DC5E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6268" w14:textId="77777777" w:rsidR="00BD446E" w:rsidRPr="001F2F03" w:rsidRDefault="00BD446E" w:rsidP="00020EB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F2F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3. Opportunities which attract less active young people to participate in physical activity.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3BFFB16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104385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FB3EEC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32118361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D13" w14:textId="77777777" w:rsidR="00BD446E" w:rsidRPr="001F2F03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F2F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4. Considered the inclusive nature of their School Sport provision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CEAD18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D35E98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E09DC6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2EA42211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00E5" w14:textId="77777777" w:rsidR="00BD446E" w:rsidRPr="001F2F03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F2F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5. A positive approach to delivering physical activity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31372C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1E4EA0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BB4071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76EF70A5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90B" w14:textId="77777777" w:rsidR="00BD446E" w:rsidRPr="001F2F03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F2F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6. Held a School Games Day as the culmination of a year-round competition programme and registered the day on your School Games dashboard.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1B6D727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68CC2F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6DF8D2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6C6C7E9E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A68" w14:textId="77777777" w:rsidR="00BD446E" w:rsidRPr="001A17F9" w:rsidRDefault="00BD446E" w:rsidP="00020EB6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7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A calendar of competition which demonstrates opportunities for young people with SEND.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6B63A59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937C1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0CD5A2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6F479AE7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5A47" w14:textId="77777777" w:rsidR="00BD446E" w:rsidRPr="001A17F9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8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A</w:t>
            </w:r>
            <w:r w:rsidRPr="00133C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 notice board and/or in-house school digital system that promotes School Games activity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18E1868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4B139D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3C52F6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2F400110" w14:textId="77777777" w:rsidTr="00020EB6">
        <w:trPr>
          <w:trHeight w:val="74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9392" w14:textId="77777777" w:rsidR="00BD446E" w:rsidRPr="001A17F9" w:rsidRDefault="00BD446E" w:rsidP="00020EB6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9495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Participation </w:t>
            </w:r>
          </w:p>
        </w:tc>
      </w:tr>
      <w:tr w:rsidR="00BD446E" w:rsidRPr="001A17F9" w14:paraId="7D941548" w14:textId="77777777" w:rsidTr="008226C6">
        <w:trPr>
          <w:trHeight w:val="25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7F0E" w14:textId="77777777" w:rsidR="00BD446E" w:rsidRPr="001A17F9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9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T</w:t>
            </w:r>
            <w:r w:rsidRPr="00B20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he provision of physical education and school sport at your school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798176C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C7742F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C102C4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0423CAA3" w14:textId="77777777" w:rsidTr="008226C6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6391" w14:textId="77777777" w:rsidR="00BD446E" w:rsidRPr="001A17F9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10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Engaging pupils in extracurricular sporting activity every week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vAlign w:val="center"/>
          </w:tcPr>
          <w:p w14:paraId="1155879F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vAlign w:val="center"/>
          </w:tcPr>
          <w:p w14:paraId="19409F5A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35%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2E0933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50%</w:t>
            </w:r>
          </w:p>
        </w:tc>
      </w:tr>
      <w:tr w:rsidR="00BD446E" w:rsidRPr="001A17F9" w14:paraId="692108BB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9246" w14:textId="77777777" w:rsidR="00BD446E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11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…</w:t>
            </w:r>
            <w:r w:rsidRPr="00F63C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of the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pupils engaged</w:t>
            </w:r>
            <w:r w:rsidRPr="00F63C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 in the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extra curriculum provision, a proportion</w:t>
            </w:r>
            <w:r w:rsidRPr="00F63C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 of these pupils should be from the non-active population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F57712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</w:pPr>
            <w:r w:rsidRPr="001A17F9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E5E042" w14:textId="77777777" w:rsidR="00BD446E" w:rsidRPr="00F63CB7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D8FAF9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15%</w:t>
            </w:r>
          </w:p>
        </w:tc>
      </w:tr>
      <w:tr w:rsidR="00BD446E" w:rsidRPr="001A17F9" w14:paraId="242A7994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EBD0" w14:textId="77777777" w:rsidR="00BD446E" w:rsidRPr="001A17F9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12/13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. Can provide evidence of provision of support for talented young sports people.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55B6A65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</w:pPr>
            <w:r w:rsidRPr="001A17F9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0D8ABE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908426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2C431548" w14:textId="77777777" w:rsidTr="00020EB6"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6D918" w14:textId="77777777" w:rsidR="00BD446E" w:rsidRPr="005C1F02" w:rsidRDefault="00BD446E" w:rsidP="00020EB6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9495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Competition</w:t>
            </w:r>
          </w:p>
        </w:tc>
      </w:tr>
      <w:tr w:rsidR="00BD446E" w:rsidRPr="001A17F9" w14:paraId="6E5ADA2B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167" w14:textId="77777777" w:rsidR="00BD446E" w:rsidRPr="001A17F9" w:rsidRDefault="00BD446E" w:rsidP="00020EB6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14. Provides approved School Games competition at Level 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9DC284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3C2156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D7C2DA" w14:textId="77777777" w:rsidR="00BD446E" w:rsidRPr="005C1F02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5E12B6C6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8D92" w14:textId="77777777" w:rsidR="00BD446E" w:rsidRPr="001A17F9" w:rsidRDefault="00BD446E" w:rsidP="00020EB6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15. Provides approved School Games competition at Level 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F3EDE3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F9DAC1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4A0E48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366E2D1B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A2DF" w14:textId="77777777" w:rsidR="00BD446E" w:rsidRPr="001A17F9" w:rsidRDefault="00BD446E" w:rsidP="00020EB6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16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. Promote the School Games to parents and the local community as specified.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470FCA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C0282E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359CDE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CF9405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2239CB28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2702" w14:textId="77777777" w:rsidR="00BD446E" w:rsidRPr="001A17F9" w:rsidRDefault="00BD446E" w:rsidP="00020EB6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17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. Results of competitions and match reports are featured on the school website / local press.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7639D1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C0282E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394C257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F08562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01A6DAB5" w14:textId="77777777" w:rsidTr="008226C6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8D1C" w14:textId="77777777" w:rsidR="00BD446E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18/19</w:t>
            </w:r>
            <w:r w:rsidRPr="00B949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. Provides approved School Games Level two competitions for B teams and C teams for both boys and girls as specifie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d in any one academic year.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B91AE7" w14:textId="77777777" w:rsidR="00BD446E" w:rsidRPr="00C0282E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49DE71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E77CAE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041A2B5E" w14:textId="77777777" w:rsidTr="00020EB6"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10DC5" w14:textId="77777777" w:rsidR="00BD446E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9495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Workforce</w:t>
            </w:r>
          </w:p>
        </w:tc>
      </w:tr>
      <w:tr w:rsidR="00BD446E" w:rsidRPr="001A17F9" w14:paraId="5BF29B70" w14:textId="77777777" w:rsidTr="008226C6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A45" w14:textId="77777777" w:rsidR="00BD446E" w:rsidRPr="001A17F9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20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. Engages students in leading, managing and officiating in School Games activity.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D3FD0F5" w14:textId="77777777" w:rsidR="00BD446E" w:rsidRPr="001A17F9" w:rsidRDefault="00BD446E" w:rsidP="00020EB6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3FEC17" w14:textId="77777777" w:rsidR="00BD446E" w:rsidRPr="001A17F9" w:rsidRDefault="00BD446E" w:rsidP="00020EB6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10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512B31" w14:textId="77777777" w:rsidR="00BD446E" w:rsidRPr="001A17F9" w:rsidRDefault="00BD446E" w:rsidP="00020EB6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15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%</w:t>
            </w:r>
          </w:p>
        </w:tc>
      </w:tr>
      <w:tr w:rsidR="00BD446E" w:rsidRPr="001A17F9" w14:paraId="6ABE2B82" w14:textId="77777777" w:rsidTr="00BD55C0">
        <w:trPr>
          <w:trHeight w:val="24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1114" w14:textId="77777777" w:rsidR="00BD446E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21. Every young person is provided the opportunity to 'learn to lead' through curriculum PE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95DA45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E37723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6D5AF8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5E4D0A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157ED2" w:rsidRPr="001A17F9" w14:paraId="2BA543AD" w14:textId="77777777" w:rsidTr="00BD55C0">
        <w:trPr>
          <w:trHeight w:val="49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00E1" w14:textId="7D9DB128" w:rsidR="00157ED2" w:rsidRPr="001A17F9" w:rsidRDefault="00157ED2" w:rsidP="008F667A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22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. Can provide evidence of how students have been engaged in planning and developing School Games activity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 (Silver) and </w:t>
            </w:r>
            <w:r w:rsidR="008F66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25</w:t>
            </w:r>
            <w:r w:rsidR="008F66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 H</w:t>
            </w:r>
            <w:r w:rsidRPr="00D8689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ave a Sc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hool Sport Organising Committee/</w:t>
            </w:r>
            <w:r w:rsidRPr="00D8689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Crew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(Gold)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E668BBC" w14:textId="77777777" w:rsidR="00157ED2" w:rsidRPr="001A17F9" w:rsidRDefault="00157ED2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A17F9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0B7687" w14:textId="77777777" w:rsidR="00157ED2" w:rsidRPr="001A17F9" w:rsidRDefault="00157ED2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CEDA9B" w14:textId="3DD6D523" w:rsidR="00157ED2" w:rsidRPr="001A17F9" w:rsidRDefault="00157ED2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238A0E38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5BE" w14:textId="77777777" w:rsidR="00BD446E" w:rsidRPr="001A17F9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23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. Is utilising sports coaches to support school sport activity.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CA90851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A17F9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B0F3A6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801A9E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2EE22494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46A0" w14:textId="77777777" w:rsidR="00BD446E" w:rsidRPr="001A17F9" w:rsidRDefault="00BD446E" w:rsidP="00020EB6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24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. Can provide evidence of training wider school staff to support school sport activity.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CB21827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C0282E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7557A92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B94953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4BFAD2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BD446E" w:rsidRPr="001A17F9" w14:paraId="178160BB" w14:textId="77777777" w:rsidTr="00020EB6"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E4E064" w14:textId="77777777" w:rsidR="00BD446E" w:rsidRPr="00B94953" w:rsidRDefault="00BD446E" w:rsidP="00020EB6">
            <w:pPr>
              <w:spacing w:after="100" w:afterAutospacing="1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9495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Clubs</w:t>
            </w:r>
          </w:p>
        </w:tc>
      </w:tr>
      <w:tr w:rsidR="00BD446E" w:rsidRPr="001A17F9" w14:paraId="6981F90A" w14:textId="77777777" w:rsidTr="00BD55C0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97E9" w14:textId="77777777" w:rsidR="00BD446E" w:rsidRPr="001A17F9" w:rsidRDefault="00BD446E" w:rsidP="00020EB6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26</w:t>
            </w:r>
            <w:r w:rsidRPr="001A17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. Can evidence active links with a number of local sports club (as specified).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C98A568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A17F9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70E3F81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A6FE98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BD446E" w:rsidRPr="001A17F9" w14:paraId="2B5E9B70" w14:textId="77777777" w:rsidTr="00BD55C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DD15" w14:textId="77777777" w:rsidR="00BD446E" w:rsidRDefault="00BD446E" w:rsidP="00020EB6">
            <w:pPr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27. Evidence that the club</w:t>
            </w:r>
            <w:r w:rsidRPr="006847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 relationship is about the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847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provider delivering taster sessions on site or is a partner host site for the activity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847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and young people are actively engaged to attend.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9D506A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</w:pPr>
            <w:r w:rsidRPr="001A17F9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22A78F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82E382" w14:textId="77777777" w:rsidR="00BD446E" w:rsidRPr="001A17F9" w:rsidRDefault="00BD446E" w:rsidP="00020EB6">
            <w:pPr>
              <w:spacing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Two</w:t>
            </w:r>
          </w:p>
        </w:tc>
      </w:tr>
    </w:tbl>
    <w:p w14:paraId="679BA257" w14:textId="475D5D9A" w:rsidR="007E3259" w:rsidRDefault="007E3259">
      <w:pPr>
        <w:rPr>
          <w:rFonts w:asciiTheme="minorHAnsi" w:hAnsiTheme="minorHAnsi" w:cstheme="minorHAnsi"/>
        </w:rPr>
      </w:pPr>
    </w:p>
    <w:p w14:paraId="63DCBDC0" w14:textId="77777777" w:rsidR="007E3259" w:rsidRDefault="007E325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1488D31" w14:textId="77777777" w:rsidR="00277296" w:rsidRPr="001A17F9" w:rsidRDefault="00277296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A15D3D" w:rsidRPr="00E31573" w14:paraId="2010361B" w14:textId="77777777" w:rsidTr="006C15F9">
        <w:trPr>
          <w:trHeight w:val="2691"/>
        </w:trPr>
        <w:tc>
          <w:tcPr>
            <w:tcW w:w="10348" w:type="dxa"/>
          </w:tcPr>
          <w:p w14:paraId="58AFDAAA" w14:textId="4D04ECF3" w:rsidR="00A15D3D" w:rsidRPr="00E31573" w:rsidRDefault="00BC057E" w:rsidP="00A253C4">
            <w:pPr>
              <w:ind w:right="-1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3157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C</w:t>
            </w:r>
            <w:r w:rsidR="00A15D3D" w:rsidRPr="00E3157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omments</w:t>
            </w:r>
          </w:p>
          <w:p w14:paraId="6D649DA5" w14:textId="77777777" w:rsidR="00A15D3D" w:rsidRPr="00AC4CED" w:rsidRDefault="00A15D3D" w:rsidP="00A253C4">
            <w:pPr>
              <w:ind w:right="-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  <w:p w14:paraId="03766377" w14:textId="43FF244B" w:rsidR="008226C6" w:rsidRPr="008226C6" w:rsidRDefault="008226C6" w:rsidP="008226C6">
            <w:pPr>
              <w:ind w:right="-1"/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Great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Linford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was awarded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the Silver</w:t>
            </w:r>
            <w:r w:rsidRPr="008226C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Mark award following the validation call, an upgrade from the </w:t>
            </w:r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Bronze</w:t>
            </w:r>
            <w:r w:rsidRPr="008226C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originally awarded, with a portfolio of evidence in place to support </w:t>
            </w:r>
            <w:r w:rsidR="00FB6F22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the majority of </w:t>
            </w:r>
            <w:r w:rsidRPr="008226C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areas of the Mark award.  </w:t>
            </w:r>
            <w:r w:rsidR="001A306F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There was</w:t>
            </w:r>
            <w:r w:rsidR="00FB6F22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</w:t>
            </w:r>
            <w:r w:rsidR="001A306F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one</w:t>
            </w:r>
            <w:r w:rsidRPr="008226C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area not at </w:t>
            </w:r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Silver</w:t>
            </w:r>
            <w:r w:rsidRPr="008226C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on the original application, but the evidence provided and discussed outlined how this was clearly an under-representation of the </w:t>
            </w:r>
            <w:proofErr w:type="gramStart"/>
            <w:r w:rsidRPr="008226C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activity taking</w:t>
            </w:r>
            <w:proofErr w:type="gramEnd"/>
            <w:r w:rsidRPr="008226C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place.  The validation highlighted that the school was offering a very st</w:t>
            </w:r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rong sports programme across the majority of</w:t>
            </w:r>
            <w:r w:rsidRPr="008226C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areas of the award, including:</w:t>
            </w:r>
          </w:p>
          <w:p w14:paraId="4BC4192C" w14:textId="77777777" w:rsidR="00A71FA0" w:rsidRDefault="00A71FA0" w:rsidP="00A71FA0">
            <w:pPr>
              <w:ind w:right="-1"/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</w:pPr>
          </w:p>
          <w:p w14:paraId="3D067BBC" w14:textId="3C250486" w:rsidR="00A71FA0" w:rsidRPr="00705F6A" w:rsidRDefault="00A71FA0" w:rsidP="00A71FA0">
            <w:pPr>
              <w:pStyle w:val="ListParagraph"/>
              <w:numPr>
                <w:ilvl w:val="0"/>
                <w:numId w:val="3"/>
              </w:numPr>
              <w:ind w:right="-1"/>
              <w:rPr>
                <w:rFonts w:asciiTheme="minorHAnsi" w:hAnsiTheme="minorHAnsi" w:cstheme="minorHAnsi"/>
                <w:szCs w:val="18"/>
              </w:rPr>
            </w:pPr>
            <w:r w:rsidRPr="00705F6A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The school has a wide range of sports on </w:t>
            </w:r>
            <w:r w:rsidRPr="00020EB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offer (</w:t>
            </w:r>
            <w:r w:rsidR="008226C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12 at Level 1 and 7</w:t>
            </w:r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at Level 2).</w:t>
            </w:r>
          </w:p>
          <w:p w14:paraId="3CC5B177" w14:textId="08E880C7" w:rsidR="00A71FA0" w:rsidRPr="0082747F" w:rsidRDefault="00A71FA0" w:rsidP="00A71FA0">
            <w:pPr>
              <w:pStyle w:val="ListParagraph"/>
              <w:numPr>
                <w:ilvl w:val="0"/>
                <w:numId w:val="3"/>
              </w:numPr>
              <w:ind w:right="-1"/>
              <w:rPr>
                <w:rFonts w:asciiTheme="minorHAnsi" w:hAnsiTheme="minorHAnsi" w:cstheme="minorHAnsi"/>
                <w:szCs w:val="18"/>
              </w:rPr>
            </w:pPr>
            <w:r w:rsidRPr="00705F6A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The sport offer at the school was well supplemented </w:t>
            </w:r>
            <w:r w:rsidR="00020EB6" w:rsidRPr="00020EB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by</w:t>
            </w:r>
            <w:r w:rsidRPr="00020EB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strong gifted and talented </w:t>
            </w:r>
            <w:r w:rsidR="00020EB6" w:rsidRPr="00020EB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and </w:t>
            </w:r>
            <w:r w:rsidRPr="00020EB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leadership programme</w:t>
            </w:r>
            <w:r w:rsidR="00020EB6" w:rsidRPr="00020EB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s</w:t>
            </w:r>
            <w:r w:rsidRPr="00020EB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.</w:t>
            </w:r>
            <w:r w:rsidRPr="00705F6A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 </w:t>
            </w:r>
          </w:p>
          <w:p w14:paraId="0735F7BA" w14:textId="59FD0893" w:rsidR="00A71FA0" w:rsidRPr="00705F6A" w:rsidRDefault="00A71FA0" w:rsidP="00A71FA0">
            <w:pPr>
              <w:pStyle w:val="ListParagraph"/>
              <w:numPr>
                <w:ilvl w:val="0"/>
                <w:numId w:val="3"/>
              </w:numPr>
              <w:ind w:right="-1"/>
              <w:rPr>
                <w:rFonts w:asciiTheme="minorHAnsi" w:hAnsiTheme="minorHAnsi" w:cstheme="minorHAnsi"/>
                <w:szCs w:val="18"/>
              </w:rPr>
            </w:pPr>
            <w:r w:rsidRPr="00705F6A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In addition to this, the school engaged well </w:t>
            </w:r>
            <w:r w:rsidRPr="00020EB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with the wider </w:t>
            </w:r>
            <w:r w:rsidR="003F26CD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local</w:t>
            </w:r>
            <w:r w:rsidRPr="00020EB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community</w:t>
            </w:r>
            <w:r w:rsidR="00A84EE4" w:rsidRPr="00020EB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</w:t>
            </w:r>
            <w:r w:rsidR="00020EB6" w:rsidRPr="00020EB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and local coaches to support sport provision.</w:t>
            </w:r>
          </w:p>
          <w:p w14:paraId="3C6D57B6" w14:textId="7123C7B4" w:rsidR="00A71FA0" w:rsidRDefault="00A71FA0" w:rsidP="00A71FA0">
            <w:pPr>
              <w:pStyle w:val="ListParagraph"/>
              <w:ind w:left="0" w:right="-1"/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</w:pPr>
            <w:r w:rsidRPr="00705F6A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There are </w:t>
            </w:r>
            <w:r w:rsidR="008226C6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three</w:t>
            </w:r>
            <w:r w:rsidRPr="00705F6A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areas not in place at the Gold level for 201</w:t>
            </w:r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6</w:t>
            </w:r>
            <w:r w:rsidRPr="00705F6A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-1</w:t>
            </w:r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7</w:t>
            </w:r>
            <w:r w:rsidRPr="00705F6A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; </w:t>
            </w:r>
          </w:p>
          <w:p w14:paraId="0D81E9A4" w14:textId="704130BE" w:rsidR="00502209" w:rsidRPr="008226C6" w:rsidRDefault="008226C6" w:rsidP="00502209">
            <w:pPr>
              <w:pStyle w:val="ListParagraph"/>
              <w:numPr>
                <w:ilvl w:val="0"/>
                <w:numId w:val="3"/>
              </w:numPr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Currently the school engages 48% of students in extra-curricular sporting activity, a further 2% need to be engaged to reach the Gold level.</w:t>
            </w:r>
          </w:p>
          <w:p w14:paraId="5B9A6441" w14:textId="3CBD55D2" w:rsidR="008226C6" w:rsidRPr="00D46940" w:rsidRDefault="008226C6" w:rsidP="00502209">
            <w:pPr>
              <w:pStyle w:val="ListParagraph"/>
              <w:numPr>
                <w:ilvl w:val="0"/>
                <w:numId w:val="3"/>
              </w:numPr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The school has a strong leadership program</w:t>
            </w:r>
            <w:r w:rsidR="00FB6F22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me that engages 12% of students, a further 3% need to be regularly taking up leadership opportunities to reach the Gold level. </w:t>
            </w:r>
          </w:p>
          <w:p w14:paraId="02B50C32" w14:textId="64915BAC" w:rsidR="00A71FA0" w:rsidRPr="00B53A4B" w:rsidRDefault="00B53A4B" w:rsidP="00B53A4B">
            <w:pPr>
              <w:pStyle w:val="ListParagraph"/>
              <w:numPr>
                <w:ilvl w:val="0"/>
                <w:numId w:val="3"/>
              </w:numPr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The school has </w:t>
            </w:r>
            <w:r w:rsidR="00FB6F22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two B teams in place. A further B team and introduction of one</w:t>
            </w:r>
            <w:r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C team </w:t>
            </w:r>
            <w:r w:rsidR="00FB6F22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has to occur for Great </w:t>
            </w:r>
            <w:proofErr w:type="spellStart"/>
            <w:r w:rsidR="00FB6F22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>Linford</w:t>
            </w:r>
            <w:proofErr w:type="spellEnd"/>
            <w:r w:rsidR="00FB6F22">
              <w:rPr>
                <w:rFonts w:asciiTheme="minorHAnsi" w:eastAsia="Times New Roman" w:hAnsiTheme="minorHAnsi" w:cstheme="minorHAnsi"/>
                <w:color w:val="000000"/>
                <w:szCs w:val="18"/>
                <w:lang w:eastAsia="zh-CN"/>
              </w:rPr>
              <w:t xml:space="preserve"> to reach the Gold standard. </w:t>
            </w:r>
            <w:bookmarkStart w:id="0" w:name="_GoBack"/>
            <w:bookmarkEnd w:id="0"/>
          </w:p>
          <w:p w14:paraId="278DD420" w14:textId="7D78844B" w:rsidR="00A71FA0" w:rsidRPr="00705F6A" w:rsidRDefault="00020EB6" w:rsidP="00A71FA0">
            <w:pPr>
              <w:ind w:right="-1"/>
              <w:rPr>
                <w:rFonts w:asciiTheme="minorHAnsi" w:hAnsiTheme="minorHAnsi" w:cstheme="minorHAnsi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Cs w:val="18"/>
              </w:rPr>
              <w:t xml:space="preserve">Well done on your award </w:t>
            </w:r>
            <w:r w:rsidR="00A71FA0">
              <w:rPr>
                <w:rFonts w:asciiTheme="minorHAnsi" w:hAnsiTheme="minorHAnsi" w:cstheme="minorHAnsi"/>
                <w:szCs w:val="18"/>
              </w:rPr>
              <w:t>and good luck planning and delivering 2017-18.</w:t>
            </w:r>
            <w:proofErr w:type="gramEnd"/>
          </w:p>
          <w:p w14:paraId="4800C6BD" w14:textId="77777777" w:rsidR="00A15D3D" w:rsidRPr="00E31573" w:rsidRDefault="00A15D3D" w:rsidP="00A253C4">
            <w:pPr>
              <w:ind w:right="-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zh-CN"/>
              </w:rPr>
            </w:pPr>
          </w:p>
          <w:p w14:paraId="1E683D9B" w14:textId="77777777" w:rsidR="002475A8" w:rsidRPr="00E31573" w:rsidRDefault="002475A8" w:rsidP="00A253C4">
            <w:pPr>
              <w:ind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878A3" w14:textId="15BB1A57" w:rsidR="00A253C4" w:rsidRPr="001A17F9" w:rsidRDefault="006C15F9" w:rsidP="002475A8">
      <w:pPr>
        <w:ind w:right="-1"/>
        <w:rPr>
          <w:rFonts w:asciiTheme="minorHAnsi" w:hAnsiTheme="minorHAnsi" w:cstheme="minorHAnsi"/>
        </w:rPr>
      </w:pPr>
      <w:r w:rsidRPr="001A17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BD9CF0C" wp14:editId="188A5801">
            <wp:simplePos x="0" y="0"/>
            <wp:positionH relativeFrom="column">
              <wp:posOffset>-44450</wp:posOffset>
            </wp:positionH>
            <wp:positionV relativeFrom="paragraph">
              <wp:posOffset>276860</wp:posOffset>
            </wp:positionV>
            <wp:extent cx="1188085" cy="287655"/>
            <wp:effectExtent l="0" t="0" r="0" b="0"/>
            <wp:wrapSquare wrapText="bothSides"/>
            <wp:docPr id="13" name="Picture 2" descr="https://staff.shu.ac.uk/marketing/Documents/SIRC_Logo_215_229_72dpi%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https://staff.shu.ac.uk/marketing/Documents/SIRC_Logo_215_229_72dpi%20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287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A253C4" w:rsidRPr="001A17F9" w:rsidSect="00A253C4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C36"/>
    <w:multiLevelType w:val="hybridMultilevel"/>
    <w:tmpl w:val="4B64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17EB7"/>
    <w:multiLevelType w:val="hybridMultilevel"/>
    <w:tmpl w:val="FA0090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706E8A"/>
    <w:multiLevelType w:val="hybridMultilevel"/>
    <w:tmpl w:val="4E50C58A"/>
    <w:lvl w:ilvl="0" w:tplc="C64871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7">
      <w:start w:val="1"/>
      <w:numFmt w:val="lowerLetter"/>
      <w:lvlText w:val="%2)"/>
      <w:lvlJc w:val="left"/>
      <w:pPr>
        <w:tabs>
          <w:tab w:val="num" w:pos="589"/>
        </w:tabs>
        <w:ind w:left="589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1309"/>
        </w:tabs>
        <w:ind w:left="1309" w:hanging="360"/>
      </w:pPr>
    </w:lvl>
    <w:lvl w:ilvl="3" w:tplc="0809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809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809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809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809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809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C4"/>
    <w:rsid w:val="000046D2"/>
    <w:rsid w:val="00020EB6"/>
    <w:rsid w:val="00046F6F"/>
    <w:rsid w:val="00065F97"/>
    <w:rsid w:val="000751E1"/>
    <w:rsid w:val="000B74E7"/>
    <w:rsid w:val="000D79AE"/>
    <w:rsid w:val="00157ED2"/>
    <w:rsid w:val="00183FCA"/>
    <w:rsid w:val="001A17F9"/>
    <w:rsid w:val="001A306F"/>
    <w:rsid w:val="001D1B12"/>
    <w:rsid w:val="002475A8"/>
    <w:rsid w:val="00247CBB"/>
    <w:rsid w:val="00250FBF"/>
    <w:rsid w:val="00265697"/>
    <w:rsid w:val="00266A3D"/>
    <w:rsid w:val="00277296"/>
    <w:rsid w:val="002E19B4"/>
    <w:rsid w:val="00336CEB"/>
    <w:rsid w:val="00362D27"/>
    <w:rsid w:val="00387DF4"/>
    <w:rsid w:val="003A0457"/>
    <w:rsid w:val="003B25B3"/>
    <w:rsid w:val="003F26CD"/>
    <w:rsid w:val="003F4404"/>
    <w:rsid w:val="00403DB5"/>
    <w:rsid w:val="00433B64"/>
    <w:rsid w:val="00473B85"/>
    <w:rsid w:val="00477C9A"/>
    <w:rsid w:val="00486253"/>
    <w:rsid w:val="0049083A"/>
    <w:rsid w:val="004E15C9"/>
    <w:rsid w:val="00502209"/>
    <w:rsid w:val="00520468"/>
    <w:rsid w:val="00566E3C"/>
    <w:rsid w:val="005677FC"/>
    <w:rsid w:val="00586C26"/>
    <w:rsid w:val="005945AF"/>
    <w:rsid w:val="005C1F02"/>
    <w:rsid w:val="005F54AC"/>
    <w:rsid w:val="00602151"/>
    <w:rsid w:val="00607B39"/>
    <w:rsid w:val="00616349"/>
    <w:rsid w:val="00631E0A"/>
    <w:rsid w:val="006924CE"/>
    <w:rsid w:val="006A21EA"/>
    <w:rsid w:val="006B44B6"/>
    <w:rsid w:val="006C15F9"/>
    <w:rsid w:val="006D5AF8"/>
    <w:rsid w:val="006E4474"/>
    <w:rsid w:val="00724A56"/>
    <w:rsid w:val="007E3259"/>
    <w:rsid w:val="007F5B11"/>
    <w:rsid w:val="008226C6"/>
    <w:rsid w:val="00830153"/>
    <w:rsid w:val="00833726"/>
    <w:rsid w:val="00865C52"/>
    <w:rsid w:val="008A1305"/>
    <w:rsid w:val="008F61A4"/>
    <w:rsid w:val="008F667A"/>
    <w:rsid w:val="00947965"/>
    <w:rsid w:val="00960972"/>
    <w:rsid w:val="009729FE"/>
    <w:rsid w:val="009C729C"/>
    <w:rsid w:val="009D59FA"/>
    <w:rsid w:val="009D71F6"/>
    <w:rsid w:val="009F1632"/>
    <w:rsid w:val="00A15D3D"/>
    <w:rsid w:val="00A24DAA"/>
    <w:rsid w:val="00A253C4"/>
    <w:rsid w:val="00A32E40"/>
    <w:rsid w:val="00A71FA0"/>
    <w:rsid w:val="00A84EE4"/>
    <w:rsid w:val="00AC4CED"/>
    <w:rsid w:val="00B11755"/>
    <w:rsid w:val="00B53A4B"/>
    <w:rsid w:val="00B56548"/>
    <w:rsid w:val="00B75A6C"/>
    <w:rsid w:val="00B779F7"/>
    <w:rsid w:val="00B94953"/>
    <w:rsid w:val="00B9542B"/>
    <w:rsid w:val="00BC057E"/>
    <w:rsid w:val="00BC787A"/>
    <w:rsid w:val="00BD446E"/>
    <w:rsid w:val="00BD55C0"/>
    <w:rsid w:val="00BF43B2"/>
    <w:rsid w:val="00C0282E"/>
    <w:rsid w:val="00C07F1B"/>
    <w:rsid w:val="00C43938"/>
    <w:rsid w:val="00C71508"/>
    <w:rsid w:val="00CB3E99"/>
    <w:rsid w:val="00CC35B0"/>
    <w:rsid w:val="00D57F13"/>
    <w:rsid w:val="00D86208"/>
    <w:rsid w:val="00E31573"/>
    <w:rsid w:val="00E45B39"/>
    <w:rsid w:val="00E63C55"/>
    <w:rsid w:val="00E87ACE"/>
    <w:rsid w:val="00E92C05"/>
    <w:rsid w:val="00E9356B"/>
    <w:rsid w:val="00EF0611"/>
    <w:rsid w:val="00F64F29"/>
    <w:rsid w:val="00FB6F22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EA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C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C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C4"/>
    <w:rPr>
      <w:rFonts w:ascii="Tahoma" w:eastAsia="Calibri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2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C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C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C4"/>
    <w:rPr>
      <w:rFonts w:ascii="Tahoma" w:eastAsia="Calibri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2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087E01C1E994DA6B89C79ADAB0F61" ma:contentTypeVersion="0" ma:contentTypeDescription="Create a new document." ma:contentTypeScope="" ma:versionID="a007015a7725e92a6ec4de75fc1749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0118314475d06ab72c5fdbe51d72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rus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6C9D-FB19-4AC4-9939-DC6F4EE83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78A47-A6A2-4CB2-BAD4-274D92F90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53E81-633A-483D-9567-5DFD64957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FB411-39BF-47AE-8073-E3762452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Bullough</dc:creator>
  <cp:lastModifiedBy>Robbie Millar</cp:lastModifiedBy>
  <cp:revision>4</cp:revision>
  <cp:lastPrinted>2012-12-05T15:50:00Z</cp:lastPrinted>
  <dcterms:created xsi:type="dcterms:W3CDTF">2017-07-17T13:11:00Z</dcterms:created>
  <dcterms:modified xsi:type="dcterms:W3CDTF">2017-07-17T19:17:00Z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0x010100368087E01C1E994DA6B89C79ADAB0F61</vt:lpwstr>
  </property>
</Properties>
</file>